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OCG NRW (Nordrhein-Westfalen) — Konzessionsinhaberinnen oder Konzessionsinhaber</w:t>
      </w:r>
    </w:p>
    <w:p>
      <w:r>
        <w:rPr>
          <w:color w:val="555555"/>
          <w:sz w:val="18"/>
        </w:rPr>
        <w:t xml:space="preserve">Online-Casinospiel 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Konzessionsinhaberinnen oder Konzessionsinhaber können natürliche oder juristische Personen, Personengesellschaften oder sonstige Vereinigungen sein, die rechtsfähig sind.</w:t>
      </w:r>
    </w:p>
    <w:p>
      <w:r>
        <w:rPr>
          <w:color w:val="555555"/>
          <w:sz w:val="17"/>
        </w:rPr>
        <w:t xml:space="preserve">Zitiervorschlag: § 2 OCG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https://recht.nulegal.eu/gesetze/OCG%20NRW/2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