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OCG NRW (Nordrhein-Westfalen) — Safe-Server, Verwaltungsvereinbarung mit einem anderen Land oder derGemeinsamen Glücksspielbehörde der Länder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Auswertung der auf dem Safe-Server nach § 6i Absatz 2 Satz 1 des Glücksspielstaatsvertrags 2021 vorhandenen Daten obliegt vorbehaltlich der folgenden Absätze der nach § 16 zuständigen Aufsichtsbehörde.</w:t>
      </w:r>
    </w:p>
    <w:p>
      <w:r>
        <w:t xml:space="preserve">(2) Die Auswertung kann aufgrund einer Verwaltungsvereinbarung durch eine Behörde oder Einrichtung eines anderen Landes, insbesondere durch die Gemeinsame Glücksspielbehörde der Länder, erfolgen. In der Verwaltungsvereinbarung ist sicherzustellen, dass die nach § 16 zuständige Behörde</w:t>
      </w:r>
    </w:p>
    <w:p>
      <w:r>
        <w:t xml:space="preserve">1. regelmäßig, mindestens jedoch einmal im Monat, geeignete Auswertungsberichte erhält und</w:t>
      </w:r>
    </w:p>
    <w:p>
      <w:r>
        <w:t xml:space="preserve">2. jederzeit Auswertungen und Informationen anfordern oder selbst erstellen kann, die geeignet sind, die Aufsicht über die Konzessionsinhaberin oder den Konzessionsinhaber auch in Bezug auf einzelne nach § 9 Absatz 1 erlaubte Spiele auszuüben.</w:t>
      </w:r>
    </w:p>
    <w:p>
      <w:r>
        <w:t xml:space="preserve">In der Verwaltungsvereinbarung sind die Kostenerstattungen an die die Auswertung durchführende Stelle zu regeln.</w:t>
      </w:r>
    </w:p>
    <w:p>
      <w:r>
        <w:t xml:space="preserve">(3) Zuständigkeiten nach diesem Gesetz werden von einer Verwaltungsvereinbarung nach Absatz 2 nicht berührt. Für Maßnahmen der Glücksspielaufsicht bleibt die nach § 16 zuständige Behörde zuständig. Ein Übergang der Fachaufsicht auf Behörden des anderen Landes ist damit nicht verbunden.</w:t>
      </w:r>
    </w:p>
    <w:p>
      <w:r>
        <w:rPr>
          <w:color w:val="555555"/>
          <w:sz w:val="17"/>
        </w:rPr>
        <w:t xml:space="preserve">Zitiervorschlag: § 17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