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OCG NRW (Nordrhein-Westfalen) — Verbot des parallelen Spiels</w:t>
      </w:r>
    </w:p>
    <w:p>
      <w:r>
        <w:rPr>
          <w:color w:val="555555"/>
          <w:sz w:val="18"/>
        </w:rPr>
        <w:t xml:space="preserve">Online-Casinospiel Gesetz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Konzessionsinhaberinnen und Konzessionsinhaber dürfen zur Sicherstellung des Verbots nach § 6h Absatz 1 des Glücksspielstaatsvertrags 2021 derselben Spielerin oder demselben Spieler zur gleichen Zeit nur die Teilnahme an einem öffentlichen Glücksspiel ermöglichen. Dies gilt auch für das Spielen desselben Spiels.</w:t>
      </w:r>
    </w:p>
    <w:p>
      <w:r>
        <w:t xml:space="preserve">(2) Spielerinnen und Spielern darf nur ein Spiel zur gleichen Zeit angezeigt werden, es sei denn, es besteht an keinem der anzeigten Spiele eine Teilnahmemöglichkeit.</w:t>
      </w:r>
    </w:p>
    <w:p>
      <w:r>
        <w:rPr>
          <w:color w:val="555555"/>
          <w:sz w:val="17"/>
        </w:rPr>
        <w:t xml:space="preserve">Zitiervorschlag: § 11 OCG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https://recht.nulegal.eu/gesetze/OCG%20NRW/11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