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OCG NRW (Nordrhein-Westfalen) — Boni und Rabatte</w:t>
      </w:r>
    </w:p>
    <w:p>
      <w:r>
        <w:rPr>
          <w:color w:val="555555"/>
          <w:sz w:val="18"/>
        </w:rPr>
        <w:t xml:space="preserve">Online-Casinospiel 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Boni und Rabatte sind gesondert zu beantragen und müssen von der Konzessionsbehörde genehmigt werden.</w:t>
      </w:r>
    </w:p>
    <w:p>
      <w:r>
        <w:rPr>
          <w:color w:val="555555"/>
          <w:sz w:val="17"/>
        </w:rPr>
        <w:t xml:space="preserve">Zitiervorschlag: § 10 OCG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https://recht.nulegal.eu/gesetze/OCG%20NRW/10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