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OBG (Brandenburg) — Weisungsrecht gegenüber örtlichen und Kreisordnungsbehörden</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Aufsichtsbehörden können Weisungen erteilen, um die gesetzmäßige Erfüllung der ordnungsbehördlichen Aufgaben zu sichern.</w:t>
      </w:r>
    </w:p>
    <w:p>
      <w:r>
        <w:t xml:space="preserve">(2) Zur zweckmäßigen Erfüllung der ordnungsbehördlichen Aufgaben dürfen die Aufsichtsbehörden</w:t>
      </w:r>
    </w:p>
    <w:p>
      <w:r>
        <w:t xml:space="preserve">allgemeine Weisungen erteilen, um die gleichmäßige Durchführung der Aufgaben zu sichern,</w:t>
      </w:r>
    </w:p>
    <w:p>
      <w:r>
        <w:t xml:space="preserve">besondere Weisungen erteilen, wenn das Verhalten der zuständigen Ordnungsbehörde zur Erledigung ordnungsbehördlicher Aufgaben nicht geeignet erscheint oder überörtliche Interessen gefährden kann.</w:t>
      </w:r>
    </w:p>
    <w:p>
      <w:r>
        <w:t xml:space="preserve">(3) Zur zweckmäßigen Erfüllung von ausländer- und paßrechtlichen Angelegenheiten dürfen die Aufsichtsbehörden besondere Weisungen auch erteilen, wenn die Bundesregierung, der Bundesminister des Innern oder die von ihnen bestimmte Stelle in Angelegenheiten des Ausländerwesens und des Paßwesens Weisungen erteilen können oder die Entscheidung im Einzelfall im Benehmen mit einer der genannten Stellen ergehen muß.</w:t>
      </w:r>
    </w:p>
    <w:p>
      <w:r>
        <w:t xml:space="preserve">(4) Das Weisungsrecht der Aufsichtsbehörden erstreckt sich nicht auf den Erlaß ordnungsbehördlicher Verordnungen.</w:t>
      </w:r>
    </w:p>
    <w:p>
      <w:r>
        <w:rPr>
          <w:color w:val="555555"/>
          <w:sz w:val="17"/>
        </w:rPr>
        <w:t xml:space="preserve">Zitiervorschlag: § 9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