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OBG (Brandenburg) — Aufsichtsbehörden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Aufsicht über die örtlichen Ordnungsbehörden in den Landkreisen führt der Landrat als allgemeine untere Landesbehörde.</w:t>
      </w:r>
    </w:p>
    <w:p>
      <w:r>
        <w:t xml:space="preserve">(2) Die Aufsicht über die kreisfreien Städte als örtliche Ordnungsbehörden und über die Kreisordnungsbehörden führt der jeweilige Fachminister; er ist zugleich oberste Aufsichtsbehörde über die Ämter, Verbandsgemeinden, mitverwaltenden Gemeinden, mitverwalteten Gemeinden und amtsfreien Gemeinden als örtliche Ordnungsbehörden.</w:t>
      </w:r>
    </w:p>
    <w:p>
      <w:r>
        <w:rPr>
          <w:color w:val="555555"/>
          <w:sz w:val="17"/>
        </w:rPr>
        <w:t xml:space="preserve">Zitiervorschlag: § 7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