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OBG (Brandenburg) — Sachliche Zuständigkeit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Aufgaben der Gefahrenabwehr sind die örtlichen Ordnungsbehörden zuständig.</w:t>
      </w:r>
    </w:p>
    <w:p>
      <w:r>
        <w:t xml:space="preserve">(2) Die Zuständigkeit der Kreisordnungsbehörden richtet sich nach den hierzu erlassenen besonderen Rechtsvorschriften.</w:t>
      </w:r>
    </w:p>
    <w:p>
      <w:r>
        <w:t xml:space="preserve">(3) Die Zuständigkeit der Landesordnungsbehörden richtet sich nach den hierzu erlassenen besonderen Rechtsvorschriften und nach der Geschäftsverteilung der Landesregierung.</w:t>
      </w:r>
    </w:p>
    <w:p>
      <w:r>
        <w:t xml:space="preserve">(4) Für den Erlaß ordnungsbehördlicher Verordnungen gelten die Vorschriften der §§ 25 und 26.</w:t>
      </w:r>
    </w:p>
    <w:p>
      <w:r>
        <w:rPr>
          <w:color w:val="555555"/>
          <w:sz w:val="17"/>
        </w:rPr>
        <w:t xml:space="preserve">Zitiervorschlag: § 5 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