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OBG (Brandenburg) — Einschränkung von Grundrechten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dieses Gesetz werden die Grundrechte auf</w:t>
      </w:r>
    </w:p>
    <w:p>
      <w:r>
        <w:t xml:space="preserve">körperliche Unversehrtheit (Artikel 2 Abs. 2 Satz 1 des Grundgesetzes, Artikel 8 Abs. 1 Satz 1 der Verfassung des Landes Brandenburg),</w:t>
      </w:r>
    </w:p>
    <w:p>
      <w:r>
        <w:t xml:space="preserve">Freiheit der Person (Artikel 2 Abs. 2 Satz 2 des Grundgesetzes, Artikel 9 Abs. 1 Satz 1 der Verfassung des Landes Brandenburg),</w:t>
      </w:r>
    </w:p>
    <w:p>
      <w:r>
        <w:t xml:space="preserve">Unverletzlichkeit der Wohnung (Artikel 13 Abs. 1 des Grundgesetzes, Artikel 15 Abs. 1 der Verfassung des Landes Brandenburg),</w:t>
      </w:r>
    </w:p>
    <w:p>
      <w:r>
        <w:t xml:space="preserve">Berufsfreiheit (Artikel 49 Absatz 1 Satz 1 der Verfassung des Landes Brandenburg)</w:t>
      </w:r>
    </w:p>
    <w:p>
      <w:r>
        <w:t xml:space="preserve">eingeschränkt.</w:t>
      </w:r>
    </w:p>
    <w:p>
      <w:r>
        <w:rPr>
          <w:color w:val="555555"/>
          <w:sz w:val="17"/>
        </w:rPr>
        <w:t xml:space="preserve">Zitiervorschlag: § 43 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https://recht.nulegal.eu/gesetze/OBG/43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