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OBG (Brandenburg) — Rechtsweg für Entschädigungs-, Ersatz- und Erstattungsansprüche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Über die Entschädigungsansprüche nach den §§ 38 bis 41 entscheiden im Streitfall die ordentlichen Gerichte.</w:t>
      </w:r>
    </w:p>
    <w:p>
      <w:r>
        <w:t xml:space="preserve">(2) Über die Erstattungsansprüche nach § 41 Abs. 1 Satz 3 sowie über die Ersatzansprüche nach § 41 Abs. 2 entscheiden im Streitfall die Verwaltungsgerichte.</w:t>
      </w:r>
    </w:p>
    <w:p>
      <w:r>
        <w:rPr>
          <w:color w:val="555555"/>
          <w:sz w:val="17"/>
        </w:rPr>
        <w:t xml:space="preserve">Zitiervorschlag: § 42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