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OBG (Brandenburg) — Zur Entschädigung verpflichtende Maßnahmen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Schaden, den jemand durch Maßnahmen der Ordnungsbehörden erleidet, ist zu ersetzen, wenn er</w:t>
      </w:r>
    </w:p>
    <w:p>
      <w:r>
        <w:t xml:space="preserve">infolge einer Inanspruchnahme nach § 18 oder</w:t>
      </w:r>
    </w:p>
    <w:p>
      <w:r>
        <w:t xml:space="preserve">durch rechtswidrige Maßnahmen, gleichgültig, ob die Ordnungsbehörden ein Verschulden trifft oder nicht,</w:t>
      </w:r>
    </w:p>
    <w:p>
      <w:r>
        <w:t xml:space="preserve">entstanden ist.</w:t>
      </w:r>
    </w:p>
    <w:p>
      <w:r>
        <w:t xml:space="preserve">(2) Ein Ersatzanspruch besteht nicht,</w:t>
      </w:r>
    </w:p>
    <w:p>
      <w:r>
        <w:t xml:space="preserve">soweit der Geschädigte auf andere Weise Ersatz erlangt hat oder</w:t>
      </w:r>
    </w:p>
    <w:p>
      <w:r>
        <w:t xml:space="preserve">wenn durch die Maßnahmen die Person oder das Vermögen des Geschädigten geschützt worden ist.</w:t>
      </w:r>
    </w:p>
    <w:p>
      <w:r>
        <w:t xml:space="preserve">(3) Soweit die Entschädigungspflicht wegen rechtmäßiger Maßnahmen der Ordnungsbehörden in anderen gesetzlichen Vorschriften geregelt ist, finden diese Anwendung.</w:t>
      </w:r>
    </w:p>
    <w:p>
      <w:r>
        <w:rPr>
          <w:color w:val="555555"/>
          <w:sz w:val="17"/>
        </w:rPr>
        <w:t xml:space="preserve">Zitiervorschlag: § 38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