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37 OBG (Brandenburg) — Sonstige Anordnungen</w:t>
      </w:r>
    </w:p>
    <w:p>
      <w:r>
        <w:rPr>
          <w:color w:val="555555"/>
          <w:sz w:val="18"/>
        </w:rPr>
        <w:t xml:space="preserve">Ordnungsbehördengesetz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Soweit die Ordnungsbehörden durch Gesetz zum Erlaß von Festsetzungen, Bekanntmachungen oder sonstigen Anordnungen ermächtigt sind, die Rechte und Pflichten begründen, gilt vorbehaltlich anderweitiger gesetzlicher Regelung folgendes:</w:t>
      </w:r>
    </w:p>
    <w:p>
      <w:r>
        <w:t xml:space="preserve">Auf Anordnungen, die an eine bestimmte Person gerichtet sind, finden die Bestimmungen über Ordnungsverfügungen mit Ausnahme der §§ 13 und 20 Anwendung.</w:t>
      </w:r>
    </w:p>
    <w:p>
      <w:r>
        <w:t xml:space="preserve">Auf allgemeinverbindliche Anordnungen finden § 28, § 29 mit Ausnahme der Nummer 2 und § 32 Anwendung.</w:t>
      </w:r>
    </w:p>
    <w:p>
      <w:r>
        <w:rPr>
          <w:color w:val="555555"/>
          <w:sz w:val="17"/>
        </w:rPr>
        <w:t xml:space="preserve">Zitiervorschlag: § 37 OBG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https://recht.nulegal.eu/gesetze/OBG/37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