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OBG (Brandenburg) — Zuwiderhandlungen gegen ordnungsbehördliche Verordnungen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ordnungsbehördlichen Verordnungen können für den Fall einer vorsätzlichen oder fahrlässigen Zuwiderhandlung Geldbußen und die Einziehung der durch die Zuwiderhandlung gewonnenen oder erlangten Gegenstände angedroht werden.</w:t>
      </w:r>
    </w:p>
    <w:p>
      <w:r>
        <w:t xml:space="preserve">(2) Zuständige Behörden im Sinne des § 36 Abs. 1 Nr. 1 des Gesetzes über Ordnungswidrigkeiten (OWiG) sind die Ordnungsbehörden nach § 5 und die sachlich zuständigen Sonderordnungsbehörden nach § 11.</w:t>
      </w:r>
    </w:p>
    <w:p>
      <w:r>
        <w:t xml:space="preserve">(3) Ist die Zuwiderhandlung gegen eine ordnungsbehördliche Verordnung nach Bundes- oder Landesrecht mit Strafe bedroht, so soll in der Verordnung auf die Strafvorschrift hingewiesen werden.</w:t>
      </w:r>
    </w:p>
    <w:p>
      <w:r>
        <w:rPr>
          <w:color w:val="555555"/>
          <w:sz w:val="17"/>
        </w:rPr>
        <w:t xml:space="preserve">Zitiervorschlag: § 30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https://recht.nulegal.eu/gesetze/OBG/30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