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OBG (Brandenburg) — Grundsatz der Verhältnismäßigkeit</w:t>
      </w:r>
    </w:p>
    <w:p>
      <w:r>
        <w:rPr>
          <w:color w:val="555555"/>
          <w:sz w:val="18"/>
        </w:rPr>
        <w:t xml:space="preserve">Ordnungsbehördengesetz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Von mehreren möglichen und geeigneten Maßnahmen haben die Ordnungsbehörden diejenige zu treffen, die den einzelnen und die Allgemeinheit voraussichtlich am wenigsten beeinträchtigt.</w:t>
      </w:r>
    </w:p>
    <w:p>
      <w:r>
        <w:t xml:space="preserve">(2) Eine Maßnahme darf nicht zu einem Nachteil führen, der zu dem erstrebten Erfolg erkennbar außer Verhältnis steht.</w:t>
      </w:r>
    </w:p>
    <w:p>
      <w:r>
        <w:t xml:space="preserve">(3) Eine Maßnahme ist nur solange zulässig, bis ihr Zweck erreicht ist oder sich zeigt, daß er nicht erreicht werden kann.</w:t>
      </w:r>
    </w:p>
    <w:p>
      <w:r>
        <w:rPr>
          <w:color w:val="555555"/>
          <w:sz w:val="17"/>
        </w:rPr>
        <w:t xml:space="preserve">Zitiervorschlag: § 14 OBG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https://recht.nulegal.eu/gesetze/OBG/14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