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OBG (Brandenburg) — Voraussetzungen des Eingreifens</w:t>
      </w:r>
    </w:p>
    <w:p>
      <w:r>
        <w:rPr>
          <w:color w:val="555555"/>
          <w:sz w:val="18"/>
        </w:rPr>
        <w:t xml:space="preserve">Ordnungsbehördengesetz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Ordnungsbehörden können die notwendigen Maßnahmen treffen, um eine im einzelnen Falle bestehende Gefahr für die öffentliche Sicherheit oder Ordnung (Gefahr) abzuwehren.</w:t>
      </w:r>
    </w:p>
    <w:p>
      <w:r>
        <w:t xml:space="preserve">(2) Zur Erfüllung der Aufgaben, die die Ordnungsbehörden nach besonderen Gesetzen und Verordnungen durchführen (§ 1 Abs. 2 Satz 1 und Abs. 3), haben sie die dort vorgesehenen Befugnisse. Soweit solche Gesetze und Verordnungen Befugnisse der Ordnungsbehörden nicht enthalten, haben sie die Befugnisse, die ihnen nach diesem Gesetz zustehen.</w:t>
      </w:r>
    </w:p>
    <w:p>
      <w:r>
        <w:rPr>
          <w:color w:val="555555"/>
          <w:sz w:val="17"/>
        </w:rPr>
        <w:t xml:space="preserve">Zitiervorschlag: § 13 OBG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https://recht.nulegal.eu/gesetze/OBG/13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