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OASG — Übergangsvorschrift und Inkrafttreten</w:t>
      </w:r>
    </w:p>
    <w:p>
      <w:r>
        <w:rPr>
          <w:color w:val="555555"/>
          <w:sz w:val="18"/>
        </w:rPr>
        <w:t xml:space="preserve">Opferanspruchssicherungsgesetz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findet keine Anwendung auf Forderungen, die vor seinem Inkrafttreten entstanden sind.</w:t>
      </w:r>
    </w:p>
    <w:p>
      <w:r>
        <w:t xml:space="preserve">(2) Dieses Gesetz tritt zwei Monate nach seiner Verkündung in Kraft.</w:t>
      </w:r>
    </w:p>
    <w:p>
      <w:r>
        <w:rPr>
          <w:color w:val="555555"/>
          <w:sz w:val="17"/>
        </w:rPr>
        <w:t xml:space="preserve">Zitiervorschlag: § 8 OASG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https://recht.nulegal.eu/gesetze/OASG/8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