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OASG — Auskunftspflicht</w:t>
      </w:r>
    </w:p>
    <w:p>
      <w:r>
        <w:rPr>
          <w:color w:val="555555"/>
          <w:sz w:val="18"/>
        </w:rPr>
        <w:t xml:space="preserve">Opferanspruchssicherungsgesetz</w:t>
      </w:r>
    </w:p>
    <w:p>
      <w:r>
        <w:rPr>
          <w:color w:val="555555"/>
          <w:sz w:val="18"/>
        </w:rPr>
        <w:t xml:space="preserve">Stand: 10.06.2019 (konsolidierte Textfassung, kein amtliches Inkrafttretensdatum)</w:t>
      </w:r>
    </w:p>
    <w:p>
      <w:r>
        <w:t xml:space="preserve">Liegen Tatsachen, die die Annahme begründen, daß ein gesetzliches Pfandrecht nach § 1 Abs. 1 Satz 1 oder 2 entstanden ist und der Verletzte Pfandgläubiger geworden ist, so kann dieser von dem Täter, dem Teilnehmer, einem an der Veröffentlichung beteiligten Dritten und einem sonstigen Begünstigten Auskunft über das Bestehen und den Umfang einer Forderung nach § 1 Abs. 1 Satz 1 oder 2 und § 7 verlangen. Gesetzliche Auskunfts- oder Aussageverweigerungsrechte sowie Verschwiegenheitspflichten bleiben unberührt.</w:t>
      </w:r>
    </w:p>
    <w:p>
      <w:r>
        <w:rPr>
          <w:color w:val="555555"/>
          <w:sz w:val="17"/>
        </w:rPr>
        <w:t xml:space="preserve">Zitiervorschlag: § 4 OASG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https://recht.nulegal.eu/gesetze/OASG/4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