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OASG — Gesetzliches Forderungspfandrecht</w:t>
      </w:r>
    </w:p>
    <w:p>
      <w:r>
        <w:rPr>
          <w:color w:val="555555"/>
          <w:sz w:val="18"/>
        </w:rPr>
        <w:t xml:space="preserve">Opferanspruchssicherungsgesetz</w:t>
      </w:r>
    </w:p>
    <w:p>
      <w:r>
        <w:rPr>
          <w:color w:val="555555"/>
          <w:sz w:val="18"/>
        </w:rPr>
        <w:t xml:space="preserve">Stand: 10.06.2019 (konsolidierte Textfassung, kein amtliches Inkrafttretensdatum)</w:t>
      </w:r>
    </w:p>
    <w:p>
      <w:r>
        <w:t xml:space="preserve">(1) Es besteht ein Pfandrecht an einer Forderung, die ein Täter oder Teilnehmer einer rechtswidrigen Tat im Sinne des § 11 Abs. 1 Nr. 5 des Strafgesetzbuches (Gläubiger) im Hinblick auf eine öffentliche Darstellung der Tat gegen einen Dritten (Schuldner) erwirbt. Ein Pfandrecht besteht auch, wenn die öffentliche Darstellung die Person des Täters oder Teilnehmers, insbesondere seine Lebensgeschichte, seine persönlichen Verhältnisse oder sein sonstiges Verhalten, zum Gegenstand hat und wenn die rechtswidrige Tat für die öffentliche Darstellung bestimmend ist; dies gilt nicht, wenn zwischen der Tat und der öffentlichen Darstellung mehr als fünf Jahre verstrichen sind. Die Frist beginnt, sobald die Tat beendet ist. Die §§ 187, 188 des Bürgerlichen Gesetzbuchs finden Anwendung.</w:t>
      </w:r>
    </w:p>
    <w:p>
      <w:r>
        <w:t xml:space="preserve">(2) Eine Forderung nach Absatz 1 kann vor ihrem Entstehen nicht abgetreten werden.</w:t>
      </w:r>
    </w:p>
    <w:p>
      <w:r>
        <w:t xml:space="preserve">(3) Pfandgläubiger ist, wer als Verletzter im Sinne des § 172 Abs. 1 der Strafprozeßordnung anzusehen ist und infolge der rechtswidrigen Tat einen Schadensersatzanspruch gegen den Täter oder Teilnehmer hat; das Pfandrecht sichert diese Forderung.</w:t>
      </w:r>
    </w:p>
    <w:p>
      <w:r>
        <w:rPr>
          <w:color w:val="555555"/>
          <w:sz w:val="17"/>
        </w:rPr>
        <w:t xml:space="preserve">Zitiervorschlag: § 1 OASG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https://recht.nulegal.eu/gesetze/OASG/1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