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NvWV — Inkrafttreten</w:t>
      </w:r>
    </w:p>
    <w:p>
      <w:r>
        <w:rPr>
          <w:color w:val="555555"/>
          <w:sz w:val="18"/>
        </w:rPr>
        <w:t xml:space="preserve">Nicht-verfügbare-Werke-Verordnung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Diese Verordnung tritt am 1. Juni 2023 in Kraft.</w:t>
      </w:r>
    </w:p>
    <w:p>
      <w:r>
        <w:rPr>
          <w:color w:val="555555"/>
          <w:sz w:val="17"/>
        </w:rPr>
        <w:t xml:space="preserve">Zitiervorschlag: § 7 NvWV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https://recht.nulegal.eu/gesetze/NvWV/7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