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NvWV — Rechtsfolgen eines Widerspruchs nach § 52 Absatz 2 des Verwertungsgesellschaftengesetzes</w:t>
      </w:r>
    </w:p>
    <w:p>
      <w:r>
        <w:rPr>
          <w:color w:val="555555"/>
          <w:sz w:val="18"/>
        </w:rPr>
        <w:t xml:space="preserve">Nicht-verfügbare-Werke-Verordnung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Informiert das Amt der Europäischen Union für geistiges Eigentum die Verwertungsgesellschaft über einen Widerspruch nach § 52 Absatz 2 des Verwertungsgesellschaftengesetzes, so prüft die Verwertungsgesellschaft dessen Berechtigung. Sie informiert das Amt der Europäischen Union für geistiges Eigentum und die Kulturerbe-Einrichtung über das Ergebnis der Prüfung.</w:t>
      </w:r>
    </w:p>
    <w:p>
      <w:r>
        <w:t xml:space="preserve">(2) Ist der Widerspruch berechtigt, so sind bereits begonnene Nutzungen des Werkes innerhalb eines Monats zu beenden und künftige Nutzungen zu unterlassen. Die Lizenz wirkt bis zur Beendigung der Nutzungen fort.</w:t>
      </w:r>
    </w:p>
    <w:p>
      <w:r>
        <w:t xml:space="preserve">(3) Ist der Widerspruch unberechtigt, so darf die Kulturerbe-Einrichtung die Nutzungen des Werkes fortsetzen.</w:t>
      </w:r>
    </w:p>
    <w:p>
      <w:r>
        <w:t xml:space="preserve">(4) Kann die Verwertungsgesellschaft die Berechtigung des Widerspruchs nicht innerhalb eines Monats seit Zugang der Benachrichtigung nach Absatz 1 Satz 1 klären, so informiert sie die Kulturerbe-Einrichtung über den Sachstand. Bereits begonnene Nutzungen des Werkes sind innerhalb von zwei Monaten nach Zugang der Benachrichtigung nach Absatz 1 Satz 1 vorläufig einzustellen.</w:t>
      </w:r>
    </w:p>
    <w:p>
      <w:r>
        <w:rPr>
          <w:color w:val="555555"/>
          <w:sz w:val="17"/>
        </w:rPr>
        <w:t xml:space="preserve">Zitiervorschlag: § 4 NvWV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https://recht.nulegal.eu/gesetze/NvWV/4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