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NutzZG — Ausweis der Zuschläge</w:t>
      </w:r>
    </w:p>
    <w:p>
      <w:r>
        <w:rPr>
          <w:color w:val="555555"/>
          <w:sz w:val="18"/>
        </w:rPr>
        <w:t xml:space="preserve">Nutzungszuschlags-Gesetz</w:t>
      </w:r>
    </w:p>
    <w:p>
      <w:r>
        <w:rPr>
          <w:color w:val="555555"/>
          <w:sz w:val="18"/>
        </w:rPr>
        <w:t xml:space="preserve">Historische Fassung: Stand 10.06.2019 bis 09.06.2021. Dies ist nicht die aktuelle Fassung.</w:t>
      </w:r>
    </w:p>
    <w:p>
      <w:r>
        <w:t xml:space="preserve">Die Zuschläge gelten als gesondert berechnungsfähige Auslagen im Sinne des § 3 der Gebührenordnung für Ärzte und des § 3 der Gebührenordnung für Zahnärzte. Sie sind in der Rechnung gesondert auszuweisen.</w:t>
      </w:r>
    </w:p>
    <w:p>
      <w:r>
        <w:rPr>
          <w:color w:val="555555"/>
          <w:sz w:val="17"/>
        </w:rPr>
        <w:t xml:space="preserve">Zitiervorschlag: § 3 NutzZG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https://recht.nulegal.eu/gesetze/NutzZG/3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