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NutzZG — Erhebung der Zuschläge</w:t>
      </w:r>
    </w:p>
    <w:p>
      <w:r>
        <w:rPr>
          <w:color w:val="555555"/>
          <w:sz w:val="18"/>
        </w:rPr>
        <w:t xml:space="preserve">Nutzungszuschlags-Gesetz</w:t>
      </w:r>
    </w:p>
    <w:p>
      <w:r>
        <w:rPr>
          <w:color w:val="555555"/>
          <w:sz w:val="18"/>
        </w:rPr>
        <w:t xml:space="preserve">Historische Fassung: Stand 01.09.2020 bis 09.06.2021. Dies ist nicht die aktuelle Fassung.</w:t>
      </w:r>
    </w:p>
    <w:p>
      <w:r>
        <w:t xml:space="preserve">(1) Für die Nutzung der elektronischen Gesundheitskarte können Ärztinnen und Ärzte, Zahnärztinnen und Zahnärzte, Psychotherapeutinnen und Psychotherapeuten sowie Psychologische Psychotherapeutinnen und Psychologische Psychotherapeuten und Kinder- und Jugendlichenpsychotherapeutinnen und Kinder- und Jugendlichenpsychotherapeuten der Zahlungspflichtigen oder dem Zahlungspflichtigen nutzungsbezogene Zuschläge berechnen.</w:t>
      </w:r>
    </w:p>
    <w:p>
      <w:r>
        <w:t xml:space="preserve">(2) Die Zuschläge dienen der Finanzierung der in § 291a Absatz 7 Satz 5 Nummer 1 und 2 des Fünften Buches Sozialgesetzbuch genannten Kosten. Ihre Höhe darf die nach § 291a Abs. 7b, 7d und 7e des Fünften Buches Sozialgesetzbuch vereinbarten oder festgelegten Zuschläge nicht überschreiten.</w:t>
      </w:r>
    </w:p>
    <w:p>
      <w:r>
        <w:t xml:space="preserve">(3) Im Rahmen wahlärztlicher Behandlung nach § 17 des Krankenhausentgeltgesetzes dürfen keine Zuschläge berechnet werden.</w:t>
      </w:r>
    </w:p>
    <w:p>
      <w:r>
        <w:rPr>
          <w:color w:val="555555"/>
          <w:sz w:val="17"/>
        </w:rPr>
        <w:t xml:space="preserve">Zitiervorschlag: § 2 NutzZG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https://recht.nulegal.eu/gesetze/NutzZG/2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