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NutzZG — Anwendungsbereich</w:t>
      </w:r>
    </w:p>
    <w:p>
      <w:r>
        <w:rPr>
          <w:color w:val="555555"/>
          <w:sz w:val="18"/>
        </w:rPr>
        <w:t xml:space="preserve">Nutzungszuschlags-Gesetz</w:t>
      </w:r>
    </w:p>
    <w:p>
      <w:r>
        <w:rPr>
          <w:color w:val="555555"/>
          <w:sz w:val="18"/>
        </w:rPr>
        <w:t xml:space="preserve">Historische Fassung: Stand 10.06.2019 bis 09.06.2021. Dies ist nicht die aktuelle Fassung.</w:t>
      </w:r>
    </w:p>
    <w:p>
      <w:r>
        <w:t xml:space="preserve">Dieses Gesetz regelt die Erhebung nutzungsbezogener Zuschläge, wenn eine elektronische Gesundheitskarte, die den Vorgaben der Gesellschaft für Telematik nach § 291b des Fünften Buches Sozialgesetzbuch entspricht, bei Behandlungen eingesetzt wird, die nicht dem Fünften Buch Sozialgesetzbuch unterliegen.</w:t>
      </w:r>
    </w:p>
    <w:p>
      <w:r>
        <w:rPr>
          <w:color w:val="555555"/>
          <w:sz w:val="17"/>
        </w:rPr>
        <w:t xml:space="preserve">Zitiervorschlag: § 1 NutzZG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https://recht.nulegal.eu/gesetze/NutzZG/1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