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NutzEV — Kündigung des Nutzers</w:t>
      </w:r>
    </w:p>
    <w:p>
      <w:r>
        <w:rPr>
          <w:color w:val="555555"/>
          <w:sz w:val="18"/>
        </w:rPr>
        <w:t xml:space="preserve">Nutzungsentgeltverordnung</w:t>
      </w:r>
    </w:p>
    <w:p>
      <w:r>
        <w:rPr>
          <w:color w:val="555555"/>
          <w:sz w:val="18"/>
        </w:rPr>
        <w:t xml:space="preserve">Stand: 10.06.2019 (konsolidierte Textfassung, kein amtliches Inkrafttretensdatum)</w:t>
      </w:r>
    </w:p>
    <w:p>
      <w:r>
        <w:t xml:space="preserve">Der Nutzer ist berechtigt, das Nutzungsverhältnis bis zum Ablauf des Monats, der auf den Zugang der Erklärung über die Entgelterhöhung folgt, für den Ablauf des letzten Monats, bevor die Erhöhung wirksam wird, zu kündigen.</w:t>
      </w:r>
    </w:p>
    <w:p>
      <w:r>
        <w:rPr>
          <w:color w:val="555555"/>
          <w:sz w:val="17"/>
        </w:rPr>
        <w:t xml:space="preserve">Zitiervorschlag: § 8 NutzEV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https://recht.nulegal.eu/gesetze/NutzEV/8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