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NutzEV — Anwendungsbereich</w:t>
      </w:r>
    </w:p>
    <w:p>
      <w:r>
        <w:rPr>
          <w:color w:val="555555"/>
          <w:sz w:val="18"/>
        </w:rPr>
        <w:t xml:space="preserve">Nutzungsentgeltverordnung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Entgelte für die Nutzung von Bodenflächen auf Grund von Verträgen nach § 312 des Zivilgesetzbuchs der Deutschen Demokratischen Republik vom 19. Juni 1975 (GBl. I Nr. 27 S. 465) dürfen nach Maßgabe dieser Verordnung angemessen gestaltet werden.</w:t>
      </w:r>
    </w:p>
    <w:p>
      <w:r>
        <w:t xml:space="preserve">(2) Diese Verordnung gilt nicht</w:t>
      </w:r>
    </w:p>
    <w:p>
      <w:pPr>
        <w:ind w:left="420"/>
      </w:pPr>
      <w:r>
        <w:t xml:space="preserve">1. für Entgelte, die sich nach dem Bundeskleingartengesetz richten,</w:t>
      </w:r>
    </w:p>
    <w:p>
      <w:pPr>
        <w:ind w:left="420"/>
      </w:pPr>
      <w:r>
        <w:t xml:space="preserve">2. für vor dem 3. Oktober 1990 abgeschlossene unentgeltliche Nutzungsverhältnisse nach § 312 des Zivilgesetzbuchs der Deutschen Demokratischen Republik und</w:t>
      </w:r>
    </w:p>
    <w:p>
      <w:pPr>
        <w:ind w:left="420"/>
      </w:pPr>
      <w:r>
        <w:t xml:space="preserve">3. für Überlassungsverträge.</w:t>
      </w:r>
    </w:p>
    <w:p>
      <w:r>
        <w:rPr>
          <w:color w:val="555555"/>
          <w:sz w:val="17"/>
        </w:rPr>
        <w:t xml:space="preserve">Zitiervorschlag: § 1 NutzEV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https://recht.nulegal.eu/gesetze/NutzEV/1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