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NtV (Brandenburg) — Nachweis- und Auskunftspflichten</w:t>
      </w:r>
    </w:p>
    <w:p>
      <w:r>
        <w:rPr>
          <w:color w:val="555555"/>
          <w:sz w:val="18"/>
        </w:rPr>
        <w:t xml:space="preserve">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den Antrag auf Genehmigung einer Nebentätigkeit nach § 88 Absatz 2 des Landesbeamtengesetzes muss über folgende Angaben der Nachweis geführt werden:</w:t>
      </w:r>
    </w:p>
    <w:p>
      <w:r>
        <w:t xml:space="preserve">Beginn und Dauer der Nebentätigkeit,</w:t>
      </w:r>
    </w:p>
    <w:p>
      <w:r>
        <w:t xml:space="preserve">Art der Nebentätigkeit,</w:t>
      </w:r>
    </w:p>
    <w:p>
      <w:r>
        <w:t xml:space="preserve">Umfang der zeitlichen Inanspruchnahme durch die Nebentätigkeit,</w:t>
      </w:r>
    </w:p>
    <w:p>
      <w:r>
        <w:t xml:space="preserve">Höhe der voraussichtlichen Entgelte und geldwerten Vorteile und</w:t>
      </w:r>
    </w:p>
    <w:p>
      <w:r>
        <w:t xml:space="preserve">die Arbeitgeberin oder den Arbeitgeber oder die Auftraggeberin oder den Auftraggeber.</w:t>
      </w:r>
    </w:p>
    <w:p>
      <w:r>
        <w:t xml:space="preserve">Für den Nachweis hat die Beamtin oder der Beamte die erforderlichen Aufzeichnungen mit den zugehörigen Unterlagen zu führen und diese fünf Jahre ab Erteilung der Genehmigung aufzubewahren.</w:t>
      </w:r>
    </w:p>
    <w:p>
      <w:r>
        <w:t xml:space="preserve">(2) Bei der Anzeige einer nicht genehmigungspflichtigen oder als genehmigt geltenden Nebentätigkeit hat die Beamtin oder der Beamte die in Absatz 1 Satz 1 aufgeführten Angaben mitzuteilen.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NtV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https://recht.nulegal.eu/gesetze/NtV/6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