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NtV (Brandenburg) — Entgelt für ärztliche Nebentätigkeiten</w:t>
      </w:r>
    </w:p>
    <w:p>
      <w:r>
        <w:rPr>
          <w:color w:val="555555"/>
          <w:sz w:val="18"/>
        </w:rPr>
        <w:t xml:space="preserve">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Entgelt für ärztliche Nebentätigkeiten in Krankenhäusern und Einrichtungen zur Rehabilitation ist zu pauschalieren, soweit in den Absätzen 2 und 3 nichts anderes bestimmt oder zugelassen wird. Für ärztliche Nebentätigkeiten in anderen Tätigkeitsbereichen richtet sich die Höhe des Entgelts nach den allgemeinen Bestimmungen des § 17.</w:t>
      </w:r>
    </w:p>
    <w:p>
      <w:r>
        <w:t xml:space="preserve">(2) Die Höhe der Kostenerstattung bemisst sich nach den von der obersten Dienstbehörde zu erlassenden Bestimmungen, die den Grundsätzen der Kostendeckung entsprechen müssen.</w:t>
      </w:r>
    </w:p>
    <w:p>
      <w:r>
        <w:t xml:space="preserve">(3) Der Vorteilsausgleich beträgt 20 Prozent der im Kalenderjahr aus der Nebentätigkeit erzielten Einnahmen bis 100 000 Euro, die der Beamtin oder dem Beamten nach Abzug der nach Absatz 2 zu erstattenden Kosten verbleiben, und 30 Prozent von dem darüber hinausgehenden Mehrbetrag. Bei einem Honorarverzicht ist ein Vorteilsausgleich nicht zu entrichten.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NtV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https://recht.nulegal.eu/gesetze/NtV/18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