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NtV (Brandenburg) — Grundsätze zur Bemessung des Entgelts</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Höhe des Entgelts für die Inanspruchnahme von Einrichtungen, Material und Personal des Dienstherrn richtet sich unter Berücksichtigung der §§ 17 und 18 nach den Grundsätzen der Kostendeckung und des Vorteilsausgleichs.</w:t>
      </w:r>
    </w:p>
    <w:p>
      <w:r>
        <w:t xml:space="preserve">(2) Auf die Entrichtung eines Entgelts kann ausnahmsweise verzichtet werden</w:t>
      </w:r>
    </w:p>
    <w:p>
      <w:r>
        <w:t xml:space="preserve">bei einer unentgeltlichen Nebentätigkeit oder</w:t>
      </w:r>
    </w:p>
    <w:p>
      <w:r>
        <w:t xml:space="preserve">wenn der Betrag insgesamt 100 Euro brutto im Kalenderjahr nicht übersteigt.</w:t>
      </w:r>
    </w:p>
    <w:p>
      <w:r>
        <w:t xml:space="preserve">Auf die Entrichtung eines Entgelts soll verzichtet werden, wenn die Nebentätigkeit auf Verlangen, Vorschlag oder Veranlassung des Dienstherrn ausgeübt wird.</w:t>
      </w:r>
    </w:p>
    <w:p>
      <w:r>
        <w:t xml:space="preserve">(3) Nehmen mehrere Beamtinnen oder Beamte Einrichtungen, Personal oder Material des Dienstherrn gemeinschaftlich in Anspruch, sind sie als Gesamtschuldnerinnen oder Gesamtschuldner zur Entrichtung des Entgelts verpflichtet.</w:t>
      </w:r>
    </w:p>
    <w:p>
      <w:r>
        <w:t xml:space="preserve">Einzelnorm</w:t>
      </w:r>
    </w:p>
    <w:p>
      <w:r>
        <w:rPr>
          <w:color w:val="555555"/>
          <w:sz w:val="17"/>
        </w:rPr>
        <w:t xml:space="preserve">Zitiervorschlag: § 16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