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NtV (Brandenburg) — Ausnahmen vom Vergütungsverbot, Höchstbetrag und von der Ablieferungspflicht</w:t>
      </w:r>
    </w:p>
    <w:p>
      <w:r>
        <w:rPr>
          <w:color w:val="555555"/>
          <w:sz w:val="18"/>
        </w:rPr>
        <w:t xml:space="preserve">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§§ 8 und 9 sind nicht anzuwenden auf Vergütungen für</w:t>
      </w:r>
    </w:p>
    <w:p>
      <w:r>
        <w:t xml:space="preserve">Lehr-, Unterrichts-, Vortrags- oder Prüfungstätigkeiten,</w:t>
      </w:r>
    </w:p>
    <w:p>
      <w:r>
        <w:t xml:space="preserve">Tätigkeiten als vom Gericht oder der Staatsanwaltschaft beauftragte Sachverständige,</w:t>
      </w:r>
    </w:p>
    <w:p>
      <w:r>
        <w:t xml:space="preserve">Tätigkeiten auf dem Gebiet der wissenschaftlichen Forschung,</w:t>
      </w:r>
    </w:p>
    <w:p>
      <w:r>
        <w:t xml:space="preserve">eine mit Lehr- oder Forschungsaufgaben zusammenhängende selbständige Gutachtertätigkeit an öffentlichen Hochschulen, wissenschaftlichen Instituten und Anstalten, die nicht unter den von der Hochschulnebentätigkeitsverordnung geregelten Anwendungsbereich fallen,</w:t>
      </w:r>
    </w:p>
    <w:p>
      <w:r>
        <w:t xml:space="preserve">Gutachtertätigkeiten von Ärztinnen und Ärzten für Versicherungsträger oder für andere juristische Personen des öffentlichen Rechts sowie ärztliche Verrichtungen dieser Personen, für die nach der Gebührenordnung Gebühren zu zahlen sind,</w:t>
      </w:r>
    </w:p>
    <w:p>
      <w:r>
        <w:t xml:space="preserve">Tätigkeiten, die während eines unter Wegfall der Besoldung gewährten Urlaubs ausgeübt werden,</w:t>
      </w:r>
    </w:p>
    <w:p>
      <w:r>
        <w:t xml:space="preserve">eine schriftstellerische oder wissenschaftliche Tätigkeit,</w:t>
      </w:r>
    </w:p>
    <w:p>
      <w:r>
        <w:t xml:space="preserve">die Tätigkeit als unparteiisches Mitglied der Einigungsstelle.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NtV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https://recht.nulegal.eu/gesetze/NtV/10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