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NschPV (Brandenburg) — Zeitpunkt und Ort der Nichtschülerprüfungen</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Nichtschülerprüfungen finden jährlich in der Regel im zweiten Schulhalbjahr an weiterführenden allgemeinbildenden Schulen und an Einrichtungen des Zweiten Bildungsweges (prüfende Einrichtungen) statt, die das staatliche Schulamt im Einvernehmen mit dem für Schule zuständigen Ministerium bestimmt. Bei der Bestimmung der prüfenden Einrichtungen, an denen eine Nichtschülerprüfung stattfindet, ist eine Kontinuität anzustreben. Bei Latinum-, Graecum- und Hebraicumprüfungen, auf die eine Hochschule vorbereitet, kann das staatliche Schulamt in Absprache mit der Hochschule abweichende Prüfungszeiträume festlegen.</w:t>
      </w:r>
    </w:p>
    <w:p>
      <w:r>
        <w:t xml:space="preserve">(2) Die Prüfung für Bewerberinnen und Bewerber, die sich</w:t>
      </w:r>
    </w:p>
    <w:p>
      <w:r>
        <w:t xml:space="preserve">an einer genehmigten Ersatzschule,</w:t>
      </w:r>
    </w:p>
    <w:p>
      <w:r>
        <w:t xml:space="preserve">an einer Waldorfschule,</w:t>
      </w:r>
    </w:p>
    <w:p>
      <w:r>
        <w:t xml:space="preserve">an einer Ergänzungsschule oder</w:t>
      </w:r>
    </w:p>
    <w:p>
      <w:r>
        <w:t xml:space="preserve">bei Latinum-, Graecum- und Hebraicumprüfungen an einer Hochschule</w:t>
      </w:r>
    </w:p>
    <w:p>
      <w:r>
        <w:t xml:space="preserve">vorbereitet haben, kann auch an deren Sitz stattfinden. Die Prüfung für Bewerberinnen und Bewerber, die sich</w:t>
      </w:r>
    </w:p>
    <w:p>
      <w:r>
        <w:t xml:space="preserve">an einer Waldorfschule oder</w:t>
      </w:r>
    </w:p>
    <w:p>
      <w:r>
        <w:t xml:space="preserve">bei Latinum-, Graecum- und Hebraicumprüfungen an einer Hochschule</w:t>
      </w:r>
    </w:p>
    <w:p>
      <w:r>
        <w:t xml:space="preserve">vorbereitet haben, kann mit Zustimmung der Bewerberinnen und Bewerber und der Zustimmung der jeweiligen Einrichtung auch an deren Sitz durchgeführt werden, sofern dieser im Land Brandenburg liegt. Für die dadurch entstehenden zusätzlichen Kosten kommt die vorbereitende Einrichtung auf.</w:t>
      </w:r>
    </w:p>
    <w:p>
      <w:r>
        <w:rPr>
          <w:color w:val="555555"/>
          <w:sz w:val="17"/>
        </w:rPr>
        <w:t xml:space="preserve">Zitiervorschlag: § 4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