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NschPV (Brandenburg) — Inkrafttreten, Außerkrafttreten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August 1997 in Kraft. Gleichzeitig tritt die Verordnung über Prüfungen für Nichtschüler im Land Brandenburg (Nichtschülerprüfungsordnung/PO-Nsch) vom 25. September 1995 ( GVBl. II S. 610), geändert durch die Fachoberschulverordnung vom 24. Mai 1997 (GVBl. II S. 434), außer Kraft.</w:t>
      </w:r>
    </w:p>
    <w:p>
      <w:r>
        <w:t xml:space="preserve">Potsdam, den 23. August 1997</w:t>
      </w:r>
    </w:p>
    <w:p>
      <w:r>
        <w:t xml:space="preserve">Die Ministerin für Bildung, Jugend und Sport</w:t>
      </w:r>
    </w:p>
    <w:p>
      <w:r>
        <w:t xml:space="preserve">Angelika Peter</w:t>
      </w:r>
    </w:p>
    <w:p>
      <w:r>
        <w:t xml:space="preserve">Anlagen zur allgemeinen Hochschulreife und zur Fachhochschulreife (schulischer Teil)</w:t>
      </w:r>
    </w:p>
    <w:p>
      <w:r>
        <w:t xml:space="preserve">Anlage 1</w:t>
      </w:r>
    </w:p>
    <w:p>
      <w:r>
        <w:t xml:space="preserve">Umsetzungstabelle Noten/Punkte</w:t>
      </w:r>
    </w:p>
    <w:p>
      <w:r>
        <w:t xml:space="preserve">Note</w:t>
      </w:r>
    </w:p>
    <w:p>
      <w:r>
        <w:t xml:space="preserve">Note mit Tendenz</w:t>
      </w:r>
    </w:p>
    <w:p>
      <w:r>
        <w:t xml:space="preserve">Punkte</w:t>
      </w:r>
    </w:p>
    <w:p>
      <w:r>
        <w:t xml:space="preserve">sehr gut</w:t>
      </w:r>
    </w:p>
    <w:p>
      <w:r>
        <w:t xml:space="preserve">1 +</w:t>
      </w:r>
    </w:p>
    <w:p>
      <w:r>
        <w:t xml:space="preserve">1</w:t>
      </w:r>
    </w:p>
    <w:p>
      <w:r>
        <w:t xml:space="preserve">1 -</w:t>
      </w:r>
    </w:p>
    <w:p>
      <w:r>
        <w:t xml:space="preserve">15</w:t>
      </w:r>
    </w:p>
    <w:p>
      <w:r>
        <w:t xml:space="preserve">14</w:t>
      </w:r>
    </w:p>
    <w:p>
      <w:r>
        <w:t xml:space="preserve">13</w:t>
      </w:r>
    </w:p>
    <w:p>
      <w:r>
        <w:t xml:space="preserve">gut</w:t>
      </w:r>
    </w:p>
    <w:p>
      <w:r>
        <w:t xml:space="preserve">2 +</w:t>
      </w:r>
    </w:p>
    <w:p>
      <w:r>
        <w:t xml:space="preserve">2</w:t>
      </w:r>
    </w:p>
    <w:p>
      <w:r>
        <w:t xml:space="preserve">2-</w:t>
      </w:r>
    </w:p>
    <w:p>
      <w:r>
        <w:t xml:space="preserve">12</w:t>
      </w:r>
    </w:p>
    <w:p>
      <w:r>
        <w:t xml:space="preserve">11</w:t>
      </w:r>
    </w:p>
    <w:p>
      <w:r>
        <w:t xml:space="preserve">10</w:t>
      </w:r>
    </w:p>
    <w:p>
      <w:r>
        <w:t xml:space="preserve">befriedigend</w:t>
      </w:r>
    </w:p>
    <w:p>
      <w:r>
        <w:t xml:space="preserve">3 +</w:t>
      </w:r>
    </w:p>
    <w:p>
      <w:r>
        <w:t xml:space="preserve">3</w:t>
      </w:r>
    </w:p>
    <w:p>
      <w:r>
        <w:t xml:space="preserve">3 -</w:t>
      </w:r>
    </w:p>
    <w:p>
      <w:r>
        <w:t xml:space="preserve">9</w:t>
      </w:r>
    </w:p>
    <w:p>
      <w:r>
        <w:t xml:space="preserve">8</w:t>
      </w:r>
    </w:p>
    <w:p>
      <w:r>
        <w:t xml:space="preserve">7</w:t>
      </w:r>
    </w:p>
    <w:p>
      <w:r>
        <w:t xml:space="preserve">ausreichend</w:t>
      </w:r>
    </w:p>
    <w:p>
      <w:r>
        <w:t xml:space="preserve">4 +</w:t>
      </w:r>
    </w:p>
    <w:p>
      <w:r>
        <w:t xml:space="preserve">4</w:t>
      </w:r>
    </w:p>
    <w:p>
      <w:r>
        <w:t xml:space="preserve">4 -</w:t>
      </w:r>
    </w:p>
    <w:p>
      <w:r>
        <w:t xml:space="preserve">6</w:t>
      </w:r>
    </w:p>
    <w:p>
      <w:r>
        <w:t xml:space="preserve">5</w:t>
      </w:r>
    </w:p>
    <w:p>
      <w:r>
        <w:t xml:space="preserve">4</w:t>
      </w:r>
    </w:p>
    <w:p>
      <w:r>
        <w:t xml:space="preserve">mangelhaft</w:t>
      </w:r>
    </w:p>
    <w:p>
      <w:r>
        <w:t xml:space="preserve">5 +</w:t>
      </w:r>
    </w:p>
    <w:p>
      <w:r>
        <w:t xml:space="preserve">5</w:t>
      </w:r>
    </w:p>
    <w:p>
      <w:r>
        <w:t xml:space="preserve">5 -</w:t>
      </w:r>
    </w:p>
    <w:p>
      <w:r>
        <w:t xml:space="preserve">3</w:t>
      </w:r>
    </w:p>
    <w:p>
      <w:r>
        <w:t xml:space="preserve">2</w:t>
      </w:r>
    </w:p>
    <w:p>
      <w:r>
        <w:t xml:space="preserve">1</w:t>
      </w:r>
    </w:p>
    <w:p>
      <w:r>
        <w:t xml:space="preserve">ungenügend</w:t>
      </w:r>
    </w:p>
    <w:p>
      <w:r>
        <w:t xml:space="preserve">6</w:t>
      </w:r>
    </w:p>
    <w:p>
      <w:r>
        <w:t xml:space="preserve">0</w:t>
      </w:r>
    </w:p>
    <w:p>
      <w:r>
        <w:t xml:space="preserve">Anlage 2</w:t>
      </w:r>
    </w:p>
    <w:p>
      <w:r>
        <w:t xml:space="preserve">Übersicht über die im Zeugnis der Allgemeinen Hochschulreife erreichbare Höchstzahl von Punkten</w:t>
      </w:r>
    </w:p>
    <w:p>
      <w:r>
        <w:t xml:space="preserve">a) ohne Besondere Leistung</w:t>
      </w:r>
    </w:p>
    <w:p>
      <w:r>
        <w:t xml:space="preserve">Prüfungsfaktor</w:t>
      </w:r>
    </w:p>
    <w:p>
      <w:r>
        <w:t xml:space="preserve">Gesamt- qualifikation</w:t>
      </w:r>
    </w:p>
    <w:p>
      <w:r>
        <w:t xml:space="preserve">1. schriftliches Fach (erhöhtes Anforderungsniveau)</w:t>
      </w:r>
    </w:p>
    <w:p>
      <w:r>
        <w:t xml:space="preserve">13 1)</w:t>
      </w:r>
    </w:p>
    <w:p>
      <w:r>
        <w:t xml:space="preserve">195</w:t>
      </w:r>
    </w:p>
    <w:p>
      <w:r>
        <w:t xml:space="preserve">2. schriftliches Fach (erhöhtes Anforderungsniveau)</w:t>
      </w:r>
    </w:p>
    <w:p>
      <w:r>
        <w:t xml:space="preserve">13 1)</w:t>
      </w:r>
    </w:p>
    <w:p>
      <w:r>
        <w:t xml:space="preserve">195</w:t>
      </w:r>
    </w:p>
    <w:p>
      <w:r>
        <w:t xml:space="preserve">3. schriftliches Fach (grundlegendes Anforderungsniveau)</w:t>
      </w:r>
    </w:p>
    <w:p>
      <w:r>
        <w:t xml:space="preserve">9 1)</w:t>
      </w:r>
    </w:p>
    <w:p>
      <w:r>
        <w:t xml:space="preserve">135</w:t>
      </w:r>
    </w:p>
    <w:p>
      <w:r>
        <w:t xml:space="preserve">4. schriftliches Fach (grundlegendes Anforderungsniveau)</w:t>
      </w:r>
    </w:p>
    <w:p>
      <w:r>
        <w:t xml:space="preserve">9 1)</w:t>
      </w:r>
    </w:p>
    <w:p>
      <w:r>
        <w:t xml:space="preserve">135</w:t>
      </w:r>
    </w:p>
    <w:p>
      <w:r>
        <w:t xml:space="preserve">5. mündliches Fach (grundlegendes Anforderungsniveau)</w:t>
      </w:r>
    </w:p>
    <w:p>
      <w:r>
        <w:t xml:space="preserve">4</w:t>
      </w:r>
    </w:p>
    <w:p>
      <w:r>
        <w:t xml:space="preserve">60</w:t>
      </w:r>
    </w:p>
    <w:p>
      <w:r>
        <w:t xml:space="preserve">6. mündliches Fach (grundlegendes Anforderungsniveau)</w:t>
      </w:r>
    </w:p>
    <w:p>
      <w:r>
        <w:t xml:space="preserve">4</w:t>
      </w:r>
    </w:p>
    <w:p>
      <w:r>
        <w:t xml:space="preserve">60</w:t>
      </w:r>
    </w:p>
    <w:p>
      <w:r>
        <w:t xml:space="preserve">7. mündliches Fach (grundlegendes Anforderungsniveau) 2)</w:t>
      </w:r>
    </w:p>
    <w:p>
      <w:r>
        <w:t xml:space="preserve">4</w:t>
      </w:r>
    </w:p>
    <w:p>
      <w:r>
        <w:t xml:space="preserve">60</w:t>
      </w:r>
    </w:p>
    <w:p>
      <w:r>
        <w:t xml:space="preserve">8. mündliches Fach (grundlegendes Anforderungsniveau) 2)</w:t>
      </w:r>
    </w:p>
    <w:p>
      <w:r>
        <w:t xml:space="preserve">4</w:t>
      </w:r>
    </w:p>
    <w:p>
      <w:r>
        <w:t xml:space="preserve">60</w:t>
      </w:r>
    </w:p>
    <w:p>
      <w:r>
        <w:t xml:space="preserve">Insgesamt</w:t>
      </w:r>
    </w:p>
    <w:p>
      <w:r>
        <w:t xml:space="preserve">60</w:t>
      </w:r>
    </w:p>
    <w:p>
      <w:r>
        <w:t xml:space="preserve">900</w:t>
      </w:r>
    </w:p>
    <w:p>
      <w:r>
        <w:t xml:space="preserve">b) mit besonderer Leistung</w:t>
      </w:r>
    </w:p>
    <w:p>
      <w:r>
        <w:t xml:space="preserve">Prüfungsfaktor</w:t>
      </w:r>
    </w:p>
    <w:p>
      <w:r>
        <w:t xml:space="preserve">Gesamt. qualifikation</w:t>
      </w:r>
    </w:p>
    <w:p>
      <w:r>
        <w:t xml:space="preserve">1. schriftliches Fach (erhöhtes Anforderungsniveau)</w:t>
      </w:r>
    </w:p>
    <w:p>
      <w:r>
        <w:t xml:space="preserve">12 1)</w:t>
      </w:r>
    </w:p>
    <w:p>
      <w:r>
        <w:t xml:space="preserve">180</w:t>
      </w:r>
    </w:p>
    <w:p>
      <w:r>
        <w:t xml:space="preserve">2. schriftliches Fach (erhöhtes Anforderungsniveau)</w:t>
      </w:r>
    </w:p>
    <w:p>
      <w:r>
        <w:t xml:space="preserve">12 1)</w:t>
      </w:r>
    </w:p>
    <w:p>
      <w:r>
        <w:t xml:space="preserve">180</w:t>
      </w:r>
    </w:p>
    <w:p>
      <w:r>
        <w:t xml:space="preserve">3. schriftliches Fach (grundlegendes Anforderungsniveau)</w:t>
      </w:r>
    </w:p>
    <w:p>
      <w:r>
        <w:t xml:space="preserve">8 1)</w:t>
      </w:r>
    </w:p>
    <w:p>
      <w:r>
        <w:t xml:space="preserve">120</w:t>
      </w:r>
    </w:p>
    <w:p>
      <w:r>
        <w:t xml:space="preserve">4. schriftliches Fach (grundlegendes Anforderungsniveau)</w:t>
      </w:r>
    </w:p>
    <w:p>
      <w:r>
        <w:t xml:space="preserve">8 1)</w:t>
      </w:r>
    </w:p>
    <w:p>
      <w:r>
        <w:t xml:space="preserve">120</w:t>
      </w:r>
    </w:p>
    <w:p>
      <w:r>
        <w:t xml:space="preserve">5. besondere Lernleistung</w:t>
      </w:r>
    </w:p>
    <w:p>
      <w:r>
        <w:t xml:space="preserve">4</w:t>
      </w:r>
    </w:p>
    <w:p>
      <w:r>
        <w:t xml:space="preserve">60</w:t>
      </w:r>
    </w:p>
    <w:p>
      <w:r>
        <w:t xml:space="preserve">6. mündliches Fach (grundlegendes Anforderungsniveau)</w:t>
      </w:r>
    </w:p>
    <w:p>
      <w:r>
        <w:t xml:space="preserve">4</w:t>
      </w:r>
    </w:p>
    <w:p>
      <w:r>
        <w:t xml:space="preserve">60</w:t>
      </w:r>
    </w:p>
    <w:p>
      <w:r>
        <w:t xml:space="preserve">7. mündliches Fach (grundlegendes Anforderungsniveau)</w:t>
      </w:r>
    </w:p>
    <w:p>
      <w:r>
        <w:t xml:space="preserve">4</w:t>
      </w:r>
    </w:p>
    <w:p>
      <w:r>
        <w:t xml:space="preserve">60</w:t>
      </w:r>
    </w:p>
    <w:p>
      <w:r>
        <w:t xml:space="preserve">8. mündliches Fach (grundlegendes Anforderungsniveau) 2)</w:t>
      </w:r>
    </w:p>
    <w:p>
      <w:r>
        <w:t xml:space="preserve">4</w:t>
      </w:r>
    </w:p>
    <w:p>
      <w:r>
        <w:t xml:space="preserve">60</w:t>
      </w:r>
    </w:p>
    <w:p>
      <w:r>
        <w:t xml:space="preserve">9. mündliches Fach (grundlegendes Anforderungsniveau) 2)</w:t>
      </w:r>
    </w:p>
    <w:p>
      <w:r>
        <w:t xml:space="preserve">4</w:t>
      </w:r>
    </w:p>
    <w:p>
      <w:r>
        <w:t xml:space="preserve">60</w:t>
      </w:r>
    </w:p>
    <w:p>
      <w:r>
        <w:t xml:space="preserve">Insgesamt</w:t>
      </w:r>
    </w:p>
    <w:p>
      <w:r>
        <w:t xml:space="preserve">60</w:t>
      </w:r>
    </w:p>
    <w:p>
      <w:r>
        <w:t xml:space="preserve">900</w:t>
      </w:r>
    </w:p>
    <w:p>
      <w:r>
        <w:t xml:space="preserve">________________________</w:t>
      </w:r>
    </w:p>
    <w:p>
      <w:r>
        <w:t xml:space="preserve">1) ergibt sich eine halbzahlige Punktzahl, so wird das Gesamtergebnis aufgerundet.</w:t>
      </w:r>
    </w:p>
    <w:p>
      <w:r>
        <w:t xml:space="preserve">2) kann durch die Kurshalbjahresleistung des zweiten Halbjahres der Jahrgangsstufe 13 ersetzt werden.</w:t>
      </w:r>
    </w:p>
    <w:p>
      <w:r>
        <w:t xml:space="preserve">Anlage 3</w:t>
      </w:r>
    </w:p>
    <w:p>
      <w:r>
        <w:t xml:space="preserve">Tabelle zur Bestimmung der Durchschnittsnote für den Erwerb der allgemeinen Hochschulreife</w:t>
      </w:r>
    </w:p>
    <w:p>
      <w:r>
        <w:t xml:space="preserve">Durchschnittsnote</w:t>
      </w:r>
    </w:p>
    <w:p>
      <w:r>
        <w:t xml:space="preserve">Punkte</w:t>
      </w:r>
    </w:p>
    <w:p>
      <w:r>
        <w:t xml:space="preserve">Durchschnittsnote</w:t>
      </w:r>
    </w:p>
    <w:p>
      <w:r>
        <w:t xml:space="preserve">Punkte</w:t>
      </w:r>
    </w:p>
    <w:p>
      <w:r>
        <w:t xml:space="preserve">Durchschnittsnote</w:t>
      </w:r>
    </w:p>
    <w:p>
      <w:r>
        <w:t xml:space="preserve">Punkte</w:t>
      </w:r>
    </w:p>
    <w:p>
      <w:r>
        <w:t xml:space="preserve">1,0</w:t>
      </w:r>
    </w:p>
    <w:p>
      <w:r>
        <w:t xml:space="preserve">900 – 823</w:t>
      </w:r>
    </w:p>
    <w:p>
      <w:r>
        <w:t xml:space="preserve">2,0</w:t>
      </w:r>
    </w:p>
    <w:p>
      <w:r>
        <w:t xml:space="preserve">660 – 643</w:t>
      </w:r>
    </w:p>
    <w:p>
      <w:r>
        <w:t xml:space="preserve">3,0</w:t>
      </w:r>
    </w:p>
    <w:p>
      <w:r>
        <w:t xml:space="preserve">480 – 463</w:t>
      </w:r>
    </w:p>
    <w:p>
      <w:r>
        <w:t xml:space="preserve">1,1</w:t>
      </w:r>
    </w:p>
    <w:p>
      <w:r>
        <w:t xml:space="preserve">822 – 805</w:t>
      </w:r>
    </w:p>
    <w:p>
      <w:r>
        <w:t xml:space="preserve">2,1</w:t>
      </w:r>
    </w:p>
    <w:p>
      <w:r>
        <w:t xml:space="preserve">642 – 625</w:t>
      </w:r>
    </w:p>
    <w:p>
      <w:r>
        <w:t xml:space="preserve">3,1</w:t>
      </w:r>
    </w:p>
    <w:p>
      <w:r>
        <w:t xml:space="preserve">462 – 445</w:t>
      </w:r>
    </w:p>
    <w:p>
      <w:r>
        <w:t xml:space="preserve">1,2</w:t>
      </w:r>
    </w:p>
    <w:p>
      <w:r>
        <w:t xml:space="preserve">804 – 787</w:t>
      </w:r>
    </w:p>
    <w:p>
      <w:r>
        <w:t xml:space="preserve">2,2</w:t>
      </w:r>
    </w:p>
    <w:p>
      <w:r>
        <w:t xml:space="preserve">624 – 607</w:t>
      </w:r>
    </w:p>
    <w:p>
      <w:r>
        <w:t xml:space="preserve">3,2</w:t>
      </w:r>
    </w:p>
    <w:p>
      <w:r>
        <w:t xml:space="preserve">444 – 427</w:t>
      </w:r>
    </w:p>
    <w:p>
      <w:r>
        <w:t xml:space="preserve">1,3</w:t>
      </w:r>
    </w:p>
    <w:p>
      <w:r>
        <w:t xml:space="preserve">786 – 769</w:t>
      </w:r>
    </w:p>
    <w:p>
      <w:r>
        <w:t xml:space="preserve">2,3</w:t>
      </w:r>
    </w:p>
    <w:p>
      <w:r>
        <w:t xml:space="preserve">606 – 589</w:t>
      </w:r>
    </w:p>
    <w:p>
      <w:r>
        <w:t xml:space="preserve">3,3</w:t>
      </w:r>
    </w:p>
    <w:p>
      <w:r>
        <w:t xml:space="preserve">426 – 409</w:t>
      </w:r>
    </w:p>
    <w:p>
      <w:r>
        <w:t xml:space="preserve">1,4</w:t>
      </w:r>
    </w:p>
    <w:p>
      <w:r>
        <w:t xml:space="preserve">768 – 751</w:t>
      </w:r>
    </w:p>
    <w:p>
      <w:r>
        <w:t xml:space="preserve">2,4</w:t>
      </w:r>
    </w:p>
    <w:p>
      <w:r>
        <w:t xml:space="preserve">588 – 571</w:t>
      </w:r>
    </w:p>
    <w:p>
      <w:r>
        <w:t xml:space="preserve">3,4</w:t>
      </w:r>
    </w:p>
    <w:p>
      <w:r>
        <w:t xml:space="preserve">408 – 391</w:t>
      </w:r>
    </w:p>
    <w:p>
      <w:r>
        <w:t xml:space="preserve">1,5</w:t>
      </w:r>
    </w:p>
    <w:p>
      <w:r>
        <w:t xml:space="preserve">750 – 733</w:t>
      </w:r>
    </w:p>
    <w:p>
      <w:r>
        <w:t xml:space="preserve">2,5</w:t>
      </w:r>
    </w:p>
    <w:p>
      <w:r>
        <w:t xml:space="preserve">570 – 553</w:t>
      </w:r>
    </w:p>
    <w:p>
      <w:r>
        <w:t xml:space="preserve">3,5</w:t>
      </w:r>
    </w:p>
    <w:p>
      <w:r>
        <w:t xml:space="preserve">390 – 373</w:t>
      </w:r>
    </w:p>
    <w:p>
      <w:r>
        <w:t xml:space="preserve">1,6</w:t>
      </w:r>
    </w:p>
    <w:p>
      <w:r>
        <w:t xml:space="preserve">732 – 715</w:t>
      </w:r>
    </w:p>
    <w:p>
      <w:r>
        <w:t xml:space="preserve">2,6</w:t>
      </w:r>
    </w:p>
    <w:p>
      <w:r>
        <w:t xml:space="preserve">552 – 535</w:t>
      </w:r>
    </w:p>
    <w:p>
      <w:r>
        <w:t xml:space="preserve">3,6</w:t>
      </w:r>
    </w:p>
    <w:p>
      <w:r>
        <w:t xml:space="preserve">372 – 355</w:t>
      </w:r>
    </w:p>
    <w:p>
      <w:r>
        <w:t xml:space="preserve">1,7</w:t>
      </w:r>
    </w:p>
    <w:p>
      <w:r>
        <w:t xml:space="preserve">714 – 697</w:t>
      </w:r>
    </w:p>
    <w:p>
      <w:r>
        <w:t xml:space="preserve">2,7</w:t>
      </w:r>
    </w:p>
    <w:p>
      <w:r>
        <w:t xml:space="preserve">534 – 517</w:t>
      </w:r>
    </w:p>
    <w:p>
      <w:r>
        <w:t xml:space="preserve">3,7</w:t>
      </w:r>
    </w:p>
    <w:p>
      <w:r>
        <w:t xml:space="preserve">354 – 337</w:t>
      </w:r>
    </w:p>
    <w:p>
      <w:r>
        <w:t xml:space="preserve">1,8</w:t>
      </w:r>
    </w:p>
    <w:p>
      <w:r>
        <w:t xml:space="preserve">696 – 679</w:t>
      </w:r>
    </w:p>
    <w:p>
      <w:r>
        <w:t xml:space="preserve">2,8</w:t>
      </w:r>
    </w:p>
    <w:p>
      <w:r>
        <w:t xml:space="preserve">516 – 499</w:t>
      </w:r>
    </w:p>
    <w:p>
      <w:r>
        <w:t xml:space="preserve">3,8</w:t>
      </w:r>
    </w:p>
    <w:p>
      <w:r>
        <w:t xml:space="preserve">336 – 319</w:t>
      </w:r>
    </w:p>
    <w:p>
      <w:r>
        <w:t xml:space="preserve">1,9</w:t>
      </w:r>
    </w:p>
    <w:p>
      <w:r>
        <w:t xml:space="preserve">678 – 661</w:t>
      </w:r>
    </w:p>
    <w:p>
      <w:r>
        <w:t xml:space="preserve">2,9</w:t>
      </w:r>
    </w:p>
    <w:p>
      <w:r>
        <w:t xml:space="preserve">498 – 481</w:t>
      </w:r>
    </w:p>
    <w:p>
      <w:r>
        <w:t xml:space="preserve">3,9</w:t>
      </w:r>
    </w:p>
    <w:p>
      <w:r>
        <w:t xml:space="preserve">318 – 301</w:t>
      </w:r>
    </w:p>
    <w:p>
      <w:r>
        <w:t xml:space="preserve">4,0</w:t>
      </w:r>
    </w:p>
    <w:p>
      <w:r>
        <w:t xml:space="preserve">300</w:t>
      </w:r>
    </w:p>
    <w:p>
      <w:r>
        <w:t xml:space="preserve">Anlage 4</w:t>
      </w:r>
    </w:p>
    <w:p>
      <w:r>
        <w:t xml:space="preserve">Tabelle zur Bestimmung der Durchschnittsnote für den Erwerb der Fachhochschulreife (schulischer Teil)</w:t>
      </w:r>
    </w:p>
    <w:p>
      <w:r>
        <w:t xml:space="preserve">Durchschnittsnote</w:t>
      </w:r>
    </w:p>
    <w:p>
      <w:r>
        <w:t xml:space="preserve">Punkte</w:t>
      </w:r>
    </w:p>
    <w:p>
      <w:r>
        <w:t xml:space="preserve">Durchschnittsnote</w:t>
      </w:r>
    </w:p>
    <w:p>
      <w:r>
        <w:t xml:space="preserve">Punkte</w:t>
      </w:r>
    </w:p>
    <w:p>
      <w:r>
        <w:t xml:space="preserve">Durchschnittsnote</w:t>
      </w:r>
    </w:p>
    <w:p>
      <w:r>
        <w:t xml:space="preserve">Punkte</w:t>
      </w:r>
    </w:p>
    <w:p>
      <w:r>
        <w:t xml:space="preserve">1,0</w:t>
      </w:r>
    </w:p>
    <w:p>
      <w:r>
        <w:t xml:space="preserve">105 – 97</w:t>
      </w:r>
    </w:p>
    <w:p>
      <w:r>
        <w:t xml:space="preserve">2,0</w:t>
      </w:r>
    </w:p>
    <w:p>
      <w:r>
        <w:t xml:space="preserve">78 – 76</w:t>
      </w:r>
    </w:p>
    <w:p>
      <w:r>
        <w:t xml:space="preserve">3,0</w:t>
      </w:r>
    </w:p>
    <w:p>
      <w:r>
        <w:t xml:space="preserve">57 – 55</w:t>
      </w:r>
    </w:p>
    <w:p>
      <w:r>
        <w:t xml:space="preserve">1,1</w:t>
      </w:r>
    </w:p>
    <w:p>
      <w:r>
        <w:t xml:space="preserve">96 – 95</w:t>
      </w:r>
    </w:p>
    <w:p>
      <w:r>
        <w:t xml:space="preserve">2,1</w:t>
      </w:r>
    </w:p>
    <w:p>
      <w:r>
        <w:t xml:space="preserve">75 – 74</w:t>
      </w:r>
    </w:p>
    <w:p>
      <w:r>
        <w:t xml:space="preserve">3,1</w:t>
      </w:r>
    </w:p>
    <w:p>
      <w:r>
        <w:t xml:space="preserve">54 – 53</w:t>
      </w:r>
    </w:p>
    <w:p>
      <w:r>
        <w:t xml:space="preserve">1,2</w:t>
      </w:r>
    </w:p>
    <w:p>
      <w:r>
        <w:t xml:space="preserve">94 – 93</w:t>
      </w:r>
    </w:p>
    <w:p>
      <w:r>
        <w:t xml:space="preserve">2,2</w:t>
      </w:r>
    </w:p>
    <w:p>
      <w:r>
        <w:t xml:space="preserve">73 – 72</w:t>
      </w:r>
    </w:p>
    <w:p>
      <w:r>
        <w:t xml:space="preserve">3,2</w:t>
      </w:r>
    </w:p>
    <w:p>
      <w:r>
        <w:t xml:space="preserve">52 – 51</w:t>
      </w:r>
    </w:p>
    <w:p>
      <w:r>
        <w:t xml:space="preserve">1,3</w:t>
      </w:r>
    </w:p>
    <w:p>
      <w:r>
        <w:t xml:space="preserve">92 – 91</w:t>
      </w:r>
    </w:p>
    <w:p>
      <w:r>
        <w:t xml:space="preserve">2,3</w:t>
      </w:r>
    </w:p>
    <w:p>
      <w:r>
        <w:t xml:space="preserve">71 – 70</w:t>
      </w:r>
    </w:p>
    <w:p>
      <w:r>
        <w:t xml:space="preserve">3,3</w:t>
      </w:r>
    </w:p>
    <w:p>
      <w:r>
        <w:t xml:space="preserve">50 – 49</w:t>
      </w:r>
    </w:p>
    <w:p>
      <w:r>
        <w:t xml:space="preserve">1,4</w:t>
      </w:r>
    </w:p>
    <w:p>
      <w:r>
        <w:t xml:space="preserve">90 – 89</w:t>
      </w:r>
    </w:p>
    <w:p>
      <w:r>
        <w:t xml:space="preserve">2,4</w:t>
      </w:r>
    </w:p>
    <w:p>
      <w:r>
        <w:t xml:space="preserve">69 – 68</w:t>
      </w:r>
    </w:p>
    <w:p>
      <w:r>
        <w:t xml:space="preserve">3,4</w:t>
      </w:r>
    </w:p>
    <w:p>
      <w:r>
        <w:t xml:space="preserve">48 – 47</w:t>
      </w:r>
    </w:p>
    <w:p>
      <w:r>
        <w:t xml:space="preserve">1,5</w:t>
      </w:r>
    </w:p>
    <w:p>
      <w:r>
        <w:t xml:space="preserve">88 – 87</w:t>
      </w:r>
    </w:p>
    <w:p>
      <w:r>
        <w:t xml:space="preserve">2,5</w:t>
      </w:r>
    </w:p>
    <w:p>
      <w:r>
        <w:t xml:space="preserve">67 – 66</w:t>
      </w:r>
    </w:p>
    <w:p>
      <w:r>
        <w:t xml:space="preserve">3,5</w:t>
      </w:r>
    </w:p>
    <w:p>
      <w:r>
        <w:t xml:space="preserve">46 – 45</w:t>
      </w:r>
    </w:p>
    <w:p>
      <w:r>
        <w:t xml:space="preserve">1,6</w:t>
      </w:r>
    </w:p>
    <w:p>
      <w:r>
        <w:t xml:space="preserve">86 – 85</w:t>
      </w:r>
    </w:p>
    <w:p>
      <w:r>
        <w:t xml:space="preserve">2,6</w:t>
      </w:r>
    </w:p>
    <w:p>
      <w:r>
        <w:t xml:space="preserve">65 – 64</w:t>
      </w:r>
    </w:p>
    <w:p>
      <w:r>
        <w:t xml:space="preserve">3,6</w:t>
      </w:r>
    </w:p>
    <w:p>
      <w:r>
        <w:t xml:space="preserve">44 – 43</w:t>
      </w:r>
    </w:p>
    <w:p>
      <w:r>
        <w:t xml:space="preserve">1,7</w:t>
      </w:r>
    </w:p>
    <w:p>
      <w:r>
        <w:t xml:space="preserve">84 – 83</w:t>
      </w:r>
    </w:p>
    <w:p>
      <w:r>
        <w:t xml:space="preserve">2,7</w:t>
      </w:r>
    </w:p>
    <w:p>
      <w:r>
        <w:t xml:space="preserve">63 – 62</w:t>
      </w:r>
    </w:p>
    <w:p>
      <w:r>
        <w:t xml:space="preserve">3,7</w:t>
      </w:r>
    </w:p>
    <w:p>
      <w:r>
        <w:t xml:space="preserve">42 – 41</w:t>
      </w:r>
    </w:p>
    <w:p>
      <w:r>
        <w:t xml:space="preserve">1,8</w:t>
      </w:r>
    </w:p>
    <w:p>
      <w:r>
        <w:t xml:space="preserve">82 – 81</w:t>
      </w:r>
    </w:p>
    <w:p>
      <w:r>
        <w:t xml:space="preserve">2,8</w:t>
      </w:r>
    </w:p>
    <w:p>
      <w:r>
        <w:t xml:space="preserve">61 – 60</w:t>
      </w:r>
    </w:p>
    <w:p>
      <w:r>
        <w:t xml:space="preserve">3,8</w:t>
      </w:r>
    </w:p>
    <w:p>
      <w:r>
        <w:t xml:space="preserve">40 – 39</w:t>
      </w:r>
    </w:p>
    <w:p>
      <w:r>
        <w:t xml:space="preserve">1,9</w:t>
      </w:r>
    </w:p>
    <w:p>
      <w:r>
        <w:t xml:space="preserve">80 – 79</w:t>
      </w:r>
    </w:p>
    <w:p>
      <w:r>
        <w:t xml:space="preserve">2,9</w:t>
      </w:r>
    </w:p>
    <w:p>
      <w:r>
        <w:t xml:space="preserve">59 – 58</w:t>
      </w:r>
    </w:p>
    <w:p>
      <w:r>
        <w:t xml:space="preserve">3,9</w:t>
      </w:r>
    </w:p>
    <w:p>
      <w:r>
        <w:t xml:space="preserve">38 – 37</w:t>
      </w:r>
    </w:p>
    <w:p>
      <w:r>
        <w:t xml:space="preserve">4,0</w:t>
      </w:r>
    </w:p>
    <w:p>
      <w:r>
        <w:t xml:space="preserve">36 – 35</w:t>
      </w:r>
    </w:p>
    <w:p>
      <w:r>
        <w:rPr>
          <w:color w:val="555555"/>
          <w:sz w:val="17"/>
        </w:rPr>
        <w:t xml:space="preserve">Zitiervorschlag: § 31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