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NschPV (Brandenburg) — Durchführung der mündlichen Prüfung</w:t>
      </w:r>
    </w:p>
    <w:p>
      <w:r>
        <w:rPr>
          <w:color w:val="555555"/>
          <w:sz w:val="18"/>
        </w:rPr>
        <w:t xml:space="preserve">Nichtschülerprüfungsverordnung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mündliche Prüfung umfaßt vier Fächer, die nicht Gegenstand der schriftlichen Prüfung waren. Die Prüfungsanforderungen müssen den Anforderungen von Grundkursfächern in der Abiturprüfung der gymnasialen Oberstufe entsprechen.</w:t>
      </w:r>
    </w:p>
    <w:p>
      <w:r>
        <w:t xml:space="preserve">(2) Für die Aufgabenstellung, die Durchführung der Prüfung, die Protokollführung und die Urteilsfindung gelten die Bestimmungen für die gymnasiale Oberstufe in der jeweils geltenden Fassung, soweit diese Verordnung nichts Abweichendes regelt.</w:t>
      </w:r>
    </w:p>
    <w:p>
      <w:r>
        <w:rPr>
          <w:color w:val="555555"/>
          <w:sz w:val="17"/>
        </w:rPr>
        <w:t xml:space="preserve">Zitiervorschlag: § 24 NschPV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https://recht.nulegal.eu/gesetze/NschPV/24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