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NschPV (Brandenburg) — Zweck der Prüfung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 das Ablegen einer Nichtschülerprüfung nach dieser Verordnung können erworben werden:</w:t>
      </w:r>
    </w:p>
    <w:p>
      <w:r>
        <w:t xml:space="preserve">als Abschlüsse und Berechtigungen der Sekundarstufe I</w:t>
      </w:r>
    </w:p>
    <w:p>
      <w:r>
        <w:t xml:space="preserve">die Berufsbildungsreife,</w:t>
      </w:r>
    </w:p>
    <w:p>
      <w:r>
        <w:t xml:space="preserve">die erweiterte Berufsbildungsreife,</w:t>
      </w:r>
    </w:p>
    <w:p>
      <w:r>
        <w:t xml:space="preserve">die Fachoberschulreife,</w:t>
      </w:r>
    </w:p>
    <w:p>
      <w:r>
        <w:t xml:space="preserve">die Berechtigung zum Besuch der gymnasialen Oberstufe,</w:t>
      </w:r>
    </w:p>
    <w:p>
      <w:r>
        <w:t xml:space="preserve">der schulische Teil der Fachhochschulreife</w:t>
      </w:r>
    </w:p>
    <w:p>
      <w:r>
        <w:t xml:space="preserve">die allgemeine Hochschulreife,</w:t>
      </w:r>
    </w:p>
    <w:p>
      <w:r>
        <w:t xml:space="preserve">das Latinum,</w:t>
      </w:r>
    </w:p>
    <w:p>
      <w:r>
        <w:t xml:space="preserve">das Graecum sowie</w:t>
      </w:r>
    </w:p>
    <w:p>
      <w:r>
        <w:t xml:space="preserve">das Hebraicum.</w:t>
      </w:r>
    </w:p>
    <w:p>
      <w:r>
        <w:t xml:space="preserve">(2) Für den nachträglichen Erwerb berufsqualifizierender Abschlüsse (Fachschulabschlüsse, Berufsfachschulabschlüsse) und der Fachhochschulreife gelten die Verordnungen über den jeweiligen Bildungsgang in der jeweils geltenden Fassung.</w:t>
      </w:r>
    </w:p>
    <w:p>
      <w:r>
        <w:rPr>
          <w:color w:val="555555"/>
          <w:sz w:val="17"/>
        </w:rPr>
        <w:t xml:space="preserve">Zitiervorschlag: § 1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