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NpSG — Datenübermittlung</w:t>
      </w:r>
    </w:p>
    <w:p>
      <w:r>
        <w:rPr>
          <w:color w:val="555555"/>
          <w:sz w:val="18"/>
        </w:rPr>
        <w:t xml:space="preserve">Neue-psychoaktive-Stoffe-Gesetz</w:t>
      </w:r>
    </w:p>
    <w:p>
      <w:r>
        <w:rPr>
          <w:color w:val="555555"/>
          <w:sz w:val="18"/>
        </w:rPr>
        <w:t xml:space="preserve">Stand: 12.04.2026 (konsolidierte Textfassung, kein amtliches Inkrafttretensdatum)</w:t>
      </w:r>
    </w:p>
    <w:p>
      <w:r>
        <w:t xml:space="preserve">Das Zollkriminalamt darf zu Straftaten nach § 4 Informationen, einschließlich personenbezogener Daten nach der aufgrund des § 20 Satz 1 des Bundeskriminalamtgesetzes erlassenen Rechtsverordnung, dem Bundeskriminalamt zur Erfüllung von dessen Aufgaben als Zentralstelle übermitteln, soweit Zwecke des Strafverfahrens dem nicht entgegenstehen. Übermittlungen nach Satz 1 sind auch zulässig, sofern sie Daten betreffen, die dem Steuergeheimnis nach § 30 der Abgabenordnung unterliegen. Übermittlungsbefugnisse nach anderen Rechtsvorschriften bleiben unberührt.</w:t>
      </w:r>
    </w:p>
    <w:p>
      <w:r>
        <w:rPr>
          <w:color w:val="555555"/>
          <w:sz w:val="17"/>
        </w:rPr>
        <w:t xml:space="preserve">Zitiervorschlag: § 6 NpSG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