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NotrufV</w:t>
      </w:r>
    </w:p>
    <w:p>
      <w:r>
        <w:rPr>
          <w:color w:val="555555"/>
          <w:sz w:val="18"/>
        </w:rPr>
        <w:t xml:space="preserve">Verordnung über Notrufverbindungen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108 Abs. 2 des Telekommunikationsgesetzes vom 22. Juni 2004 (BGBl. I S. 1190), der zuletzt durch Artikel 2 Nr. 23 des Gesetzes vom 18. Februar 2007 (BGBl. I S. 106) geändert worden ist, verordnet das Bundesministerium für Wirtschaft und Technologie im Einvernehmen mit dem Bundesministerium des Innern und dem Bundesministerium für Arbeit und Soziales:</w:t>
      </w:r>
    </w:p>
    <w:p>
      <w:r>
        <w:rPr>
          <w:color w:val="555555"/>
          <w:sz w:val="17"/>
        </w:rPr>
        <w:t xml:space="preserve">Zitiervorschlag: Eingangsformel NotrufV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https://recht.nulegal.eu/gesetze/NotrufV/eingangsformel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