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NotrufV — Anforderungen an Notrufanschlüsse</w:t>
      </w:r>
    </w:p>
    <w:p>
      <w:r>
        <w:rPr>
          <w:color w:val="555555"/>
          <w:sz w:val="18"/>
        </w:rPr>
        <w:t xml:space="preserve">Verordnung über Notrufverbindungen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Notrufanschlüsse bereitstellt, hat</w:t>
      </w:r>
    </w:p>
    <w:p>
      <w:pPr>
        <w:ind w:left="420"/>
      </w:pPr>
      <w:r>
        <w:t xml:space="preserve">1. die Betriebsbereitschaft dieser Anschlüsse ständig zu überwachen und sicherzustellen sowie diese Anschlüsse so zu gestalten, dass der Notrufabfragestelle neben den zu übertragenden Telefon- oder Telefaxsignalen auch die Daten nach § 4 Absatz 4 Satz 1 und Absatz 8 Nummer 3 Satz 2 oder 4 übermittelt werden;</w:t>
      </w:r>
    </w:p>
    <w:p>
      <w:pPr>
        <w:ind w:left="420"/>
      </w:pPr>
      <w:r>
        <w:t xml:space="preserve">2. diese Anschlüsse unter den von der Bundesnetzagentur nach § 3 Absatz 2 Satz 1 vorgegebenen Notrufcodierungen erreichbar zu machen;</w:t>
      </w:r>
    </w:p>
    <w:p>
      <w:pPr>
        <w:ind w:left="420"/>
      </w:pPr>
      <w:r>
        <w:t xml:space="preserve">3. sicherzustellen, dass ein Notrufanschluss nur aus zwingenden betrieblichen Gründen vorübergehend außer Betrieb genommen wird und dass die Notrufabfragestelle bei vorhersehbarem Außerbetriebnehmen rechtzeitig darüber informiert wird;</w:t>
      </w:r>
    </w:p>
    <w:p>
      <w:pPr>
        <w:ind w:left="420"/>
      </w:pPr>
      <w:r>
        <w:t xml:space="preserve">4. unvorhersehbare Störungen eines Notrufanschlusses unverzüglich der betroffenen Notrufabfragestelle zu melden;</w:t>
      </w:r>
    </w:p>
    <w:p>
      <w:pPr>
        <w:ind w:left="420"/>
      </w:pPr>
      <w:r>
        <w:t xml:space="preserve">5. Notrufverbindungen automatisch zu der festgelegten Ersatz-Notrufabfragestelle umzuleiten, sofern eine Notrufabfragestelle auf Grund einer technischen Störung nicht erreichbar ist;</w:t>
      </w:r>
    </w:p>
    <w:p>
      <w:pPr>
        <w:ind w:left="420"/>
      </w:pPr>
      <w:r>
        <w:t xml:space="preserve">6. auf Anforderung der Notrufabfragestelle sämtliche für sie bestimmte Notrufverbindungen an die festgelegte Ersatz-Notrufabfragestelle umzuleiten;</w:t>
      </w:r>
    </w:p>
    <w:p>
      <w:pPr>
        <w:ind w:left="420"/>
      </w:pPr>
      <w:r>
        <w:t xml:space="preserve">7. technische Änderungen an Notrufanschlüssen ohne Beeinträchtigung bestehender Notrufverbindungen und der Erreichbarkeit der Notrufabfragestelle durchzuführen.</w:t>
      </w:r>
    </w:p>
    <w:p>
      <w:r>
        <w:t xml:space="preserve">Bei der Umleitung von Notrufverbindungen nach Satz 1 Nummer 5 und 6 sind der Ersatznotrufabfragestelle auch die zugehörigen Daten nach § 4 Absatz 4 Satz 1 und Absatz 8 Nummer 3 Satz 2 oder 4 zu übermitteln.</w:t>
      </w:r>
    </w:p>
    <w:p>
      <w:r>
        <w:rPr>
          <w:color w:val="555555"/>
          <w:sz w:val="17"/>
        </w:rPr>
        <w:t xml:space="preserve">Zitiervorschlag: § 5 NotrufV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https://recht.nulegal.eu/gesetze/NotrufV/5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