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NotViKoV — Technische Abwicklung der Videokommunikation</w:t>
      </w:r>
    </w:p>
    <w:p>
      <w:r>
        <w:rPr>
          <w:color w:val="555555"/>
          <w:sz w:val="18"/>
        </w:rPr>
        <w:t xml:space="preserve">Verordnung über den Betrieb eines Videokommunikationssystems für notarielle Urkundstätigkeiten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Das Videokommunikationssystem hat die technische Abwicklung der Videokommunikation im Wege der Bild- und Tonübertragung zu ermöglichen. Die Übertragung wird nicht aufgezeichnet.</w:t>
      </w:r>
    </w:p>
    <w:p>
      <w:r>
        <w:t xml:space="preserve">(2) Das Videokommunikationssystem hat der Amtsperson die technische Leitung des Videokommunikationsvorgangs zu ermöglichen. Dazu gehört insbesondere die Möglichkeit, Nutzer von dem Videokommunikationsvorgang auszuschließen und den Videokommunikationsvorgang insgesamt zu beenden.</w:t>
      </w:r>
    </w:p>
    <w:p>
      <w:r>
        <w:rPr>
          <w:color w:val="555555"/>
          <w:sz w:val="17"/>
        </w:rPr>
        <w:t xml:space="preserve">Zitiervorschlag: § 9 NotViKoV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https://recht.nulegal.eu/gesetze/NotViKoV/9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