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NotViKoV — Funktionen des Videokommunikationssystems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Das Videokommunikationssystem hat folgende Funktionen zu ermöglichen:</w:t>
      </w:r>
    </w:p>
    <w:p>
      <w:pPr>
        <w:ind w:left="420"/>
      </w:pPr>
      <w:r>
        <w:t xml:space="preserve">1. die technische Abwicklung der Videokommunikation (§ 9),</w:t>
      </w:r>
    </w:p>
    <w:p>
      <w:pPr>
        <w:ind w:left="420"/>
      </w:pPr>
      <w:r>
        <w:t xml:space="preserve">2. die technische Abwicklung der Identitätsfeststellung (§ 10),</w:t>
      </w:r>
    </w:p>
    <w:p>
      <w:pPr>
        <w:ind w:left="420"/>
      </w:pPr>
      <w:r>
        <w:t xml:space="preserve">3. die Übermittlung von elektronischen Dokumenten zur Durchsicht (§ 11) und</w:t>
      </w:r>
    </w:p>
    <w:p>
      <w:pPr>
        <w:ind w:left="420"/>
      </w:pPr>
      <w:r>
        <w:t xml:space="preserve">4. das Erstellen von qualifizierten elektronischen Signaturen (§ 12).</w:t>
      </w:r>
    </w:p>
    <w:p>
      <w:r>
        <w:t xml:space="preserve">(2) Die Bundesnotarkammer kann über die Funktionen des Videokommunikationssystems nach Absatz 1 hinaus weitere Funktionen anbieten, die der Anbahnung, der Vorbereitung, der Durchführung oder dem Vollzug einer Urkundstätigkeit dienen, insbesondere</w:t>
      </w:r>
    </w:p>
    <w:p>
      <w:pPr>
        <w:ind w:left="420"/>
      </w:pPr>
      <w:r>
        <w:t xml:space="preserve">1. eine Funktion zur Suche nach solchen Notaren und Notariatsverwaltern, in deren Amtsbereich sich einer der in § 10a Absatz 3 Satz 1 der Bundesnotarordnung genannten Orte befindet,</w:t>
      </w:r>
    </w:p>
    <w:p>
      <w:pPr>
        <w:ind w:left="420"/>
      </w:pPr>
      <w:r>
        <w:t xml:space="preserve">2. eine Funktion für den Austausch elektronischer Dokumente,</w:t>
      </w:r>
    </w:p>
    <w:p>
      <w:pPr>
        <w:ind w:left="420"/>
      </w:pPr>
      <w:r>
        <w:t xml:space="preserve">3. eine Funktion für das Senden und Empfangen elektronischer Nachrichten sowie</w:t>
      </w:r>
    </w:p>
    <w:p>
      <w:pPr>
        <w:ind w:left="420"/>
      </w:pPr>
      <w:r>
        <w:t xml:space="preserve">4. eine Funktion für das gemeinsame Betrachten von in einem Videokommunikationsvorgang angezeigten elektronischen Dokumenten.</w:t>
      </w:r>
    </w:p>
    <w:p>
      <w:r>
        <w:t xml:space="preserve">(3) Die Gestaltung des Videokommunikationssystems einschließlich des Zugangs zu diesem soll die Anforderungen der Barrierefreiheit im Sinne der Barrierefreie-Informationstechnik-Verordnung berücksichtigen.</w:t>
      </w:r>
    </w:p>
    <w:p>
      <w:r>
        <w:rPr>
          <w:color w:val="555555"/>
          <w:sz w:val="17"/>
        </w:rPr>
        <w:t xml:space="preserve">Zitiervorschlag: § 8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