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NotViKoV — Einräumung der technischen Zugangsberechtigung</w:t>
      </w:r>
    </w:p>
    <w:p>
      <w:r>
        <w:rPr>
          <w:color w:val="555555"/>
          <w:sz w:val="18"/>
        </w:rPr>
        <w:t xml:space="preserve">Verordnung über den Betrieb eines Videokommunikationssystems für notarielle Urkundstätigkeiten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technische Zugangsberechtigung nach § 2 Absatz 1 Nummer 1 und 2 ist durch die Notarkammer einzuräumen.</w:t>
      </w:r>
    </w:p>
    <w:p>
      <w:r>
        <w:t xml:space="preserve">(2) Die technische Zugangsberechtigung nach § 2 Absatz 1 Nummer 3 soll durch die zu vertretende Amtsperson eingeräumt werden. Wird die technische Zugangsberechtigung nicht durch die zu vertretende Amtsperson eingeräumt, so ist sie durch die Notarkammer einzuräumen.</w:t>
      </w:r>
    </w:p>
    <w:p>
      <w:r>
        <w:t xml:space="preserve">(3) Die technische Zugangsberechtigung nach § 2 Absatz 1 Nummer 4 ist durch die Bundesnotarkammer einzuräumen. Bei Beteiligten und hinzugezogenen Personen setzt die Einräumung der technischen Zugangsberechtigung eine Registrierung unter Nachweis der Identität mittels eines elektronischen Identitätsnachweises oder Identifizierungsmittels nach § 16c Satz 1 des Beurkundungsgesetzes voraus. Bei Verwendung eines elektronischen Identitätsnachweises nach § 16c Satz 1 Nummer 1 des Beurkundungsgesetzes sind folgende Daten auszulesen und als Nutzerdaten zu speichern: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Geburtsname,</w:t>
      </w:r>
    </w:p>
    <w:p>
      <w:pPr>
        <w:ind w:left="420"/>
      </w:pPr>
      <w:r>
        <w:t xml:space="preserve">3. Vornamen,</w:t>
      </w:r>
    </w:p>
    <w:p>
      <w:pPr>
        <w:ind w:left="420"/>
      </w:pPr>
      <w:r>
        <w:t xml:space="preserve">4. Doktorgrad,</w:t>
      </w:r>
    </w:p>
    <w:p>
      <w:pPr>
        <w:ind w:left="420"/>
      </w:pPr>
      <w:r>
        <w:t xml:space="preserve">5. Tag der Geburt,</w:t>
      </w:r>
    </w:p>
    <w:p>
      <w:pPr>
        <w:ind w:left="420"/>
      </w:pPr>
      <w:r>
        <w:t xml:space="preserve">6. Ort der Geburt,</w:t>
      </w:r>
    </w:p>
    <w:p>
      <w:pPr>
        <w:ind w:left="420"/>
      </w:pPr>
      <w:r>
        <w:t xml:space="preserve">7. Anschrift,</w:t>
      </w:r>
    </w:p>
    <w:p>
      <w:pPr>
        <w:ind w:left="420"/>
      </w:pPr>
      <w:r>
        <w:t xml:space="preserve">8. Staatsangehörigkeit,</w:t>
      </w:r>
    </w:p>
    <w:p>
      <w:pPr>
        <w:ind w:left="420"/>
      </w:pPr>
      <w:r>
        <w:t xml:space="preserve">9. Dokumentenart,</w:t>
      </w:r>
    </w:p>
    <w:p>
      <w:pPr>
        <w:ind w:left="420"/>
      </w:pPr>
      <w:r>
        <w:t xml:space="preserve">10. letzter Tag der Gültigkeitsdauer und</w:t>
      </w:r>
    </w:p>
    <w:p>
      <w:pPr>
        <w:ind w:left="420"/>
      </w:pPr>
      <w:r>
        <w:t xml:space="preserve">11. dienste- und kartenspezifische Kennzeichen.</w:t>
      </w:r>
    </w:p>
    <w:p>
      <w:r>
        <w:t xml:space="preserve">Bei Verwendung eines elektronischen Identifizierungsmittels nach § 16c Satz 1 Nummer 2 des Beurkundungsgesetzes sind die in Satz 3 Nummer 1 bis 10 genannten Daten sowie die eindeutige Kennung auszulesen und als Nutzerdaten zu speichern, soweit sie in dem Datensatz des elektronischen Identifizierungsmittels enthalten sind.</w:t>
      </w:r>
    </w:p>
    <w:p>
      <w:r>
        <w:t xml:space="preserve">(4) Die technische Zugangsberechtigung nach § 2 Absatz 2 Satz 1 ist von der Amtsperson einzuräumen, bei der die Person beschäftigt ist. Diese Amtsperson kann den bei ihr beschäftigten Personen auch die Befugnis einräumen, weitere technische Zugangsberechtigungen nach § 2 Absatz 2 Satz 1 zu erteilen. Befugnisse nach Satz 2 können in ihrem Umfang eingeschränkt werden. Der beschäftigenden Amtsperson im Sinne dieses Absatzes steht deren Notarvertretung gleich.</w:t>
      </w:r>
    </w:p>
    <w:p>
      <w:r>
        <w:rPr>
          <w:color w:val="555555"/>
          <w:sz w:val="17"/>
        </w:rPr>
        <w:t xml:space="preserve">Zitiervorschlag: § 3 NotViKoV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https://recht.nulegal.eu/gesetze/NotViKoV/3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