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NotViKoV — Technische Zugangsberechtigung zum Videokommunikationssystem</w:t>
      </w:r>
    </w:p>
    <w:p>
      <w:r>
        <w:rPr>
          <w:color w:val="555555"/>
          <w:sz w:val="18"/>
        </w:rPr>
        <w:t xml:space="preserve">Verordnung über den Betrieb eines Videokommunikationssystems für notarielle Urkundstätigkeiten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Eine technische Zugangsberechtigung zum Videokommunikationssystem ist einzuräumen:</w:t>
      </w:r>
    </w:p>
    <w:p>
      <w:pPr>
        <w:ind w:left="420"/>
      </w:pPr>
      <w:r>
        <w:t xml:space="preserve">1. dem Notar,</w:t>
      </w:r>
    </w:p>
    <w:p>
      <w:pPr>
        <w:ind w:left="420"/>
      </w:pPr>
      <w:r>
        <w:t xml:space="preserve">2. dem Notariatsverwalter,</w:t>
      </w:r>
    </w:p>
    <w:p>
      <w:pPr>
        <w:ind w:left="420"/>
      </w:pPr>
      <w:r>
        <w:t xml:space="preserve">3. der Notarvertretung sowie</w:t>
      </w:r>
    </w:p>
    <w:p>
      <w:pPr>
        <w:ind w:left="420"/>
      </w:pPr>
      <w:r>
        <w:t xml:space="preserve">4. Personen, die beabsichtigen, das Videokommunikationssystem als Beteiligter, hinzugezogene Person oder Dritter zu nutzen.</w:t>
      </w:r>
    </w:p>
    <w:p>
      <w:r>
        <w:t xml:space="preserve">(2) Personen, die bei einer Amtsperson beschäftigt sind, kann eine technische Zugangsberechtigung eingeräumt werden. Technische Zugangsberechtigungen nach Satz 1 können in ihrem Umfang eingeschränkt werden.</w:t>
      </w:r>
    </w:p>
    <w:p>
      <w:r>
        <w:t xml:space="preserve">(3) Für körperliche Zugangsmittel und Wissensdaten, die die in den Absätzen 1 und 2 genannten Personen für den Zugang zum Videokommunikationssystem verwenden, gilt § 5 Absatz 3 bis 5 der Verordnung über die Führung notarieller Akten und Verzeichnisse entsprechend.</w:t>
      </w:r>
    </w:p>
    <w:p>
      <w:r>
        <w:rPr>
          <w:color w:val="555555"/>
          <w:sz w:val="17"/>
        </w:rPr>
        <w:t xml:space="preserve">Zitiervorschlag: § 2 NotViKoV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https://recht.nulegal.eu/gesetze/NotViKoV/2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