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NotViKoV — Inkrafttreten</w:t>
      </w:r>
    </w:p>
    <w:p>
      <w:r>
        <w:rPr>
          <w:color w:val="555555"/>
          <w:sz w:val="18"/>
        </w:rPr>
        <w:t xml:space="preserve">Verordnung über den Betrieb eines Videokommunikationssystems für notarielle Urkundstätigkeiten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Diese Verordnung tritt am 1. August 2022 in Kraft.</w:t>
      </w:r>
    </w:p>
    <w:p>
      <w:r>
        <w:rPr>
          <w:color w:val="555555"/>
          <w:sz w:val="17"/>
        </w:rPr>
        <w:t xml:space="preserve">Zitiervorschlag: § 16 NotViKoV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https://recht.nulegal.eu/gesetze/NotViKoV/16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