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NotViKoV — Rechtsgrundlagen der Datenverarbeitung</w:t>
      </w:r>
    </w:p>
    <w:p>
      <w:r>
        <w:rPr>
          <w:color w:val="555555"/>
          <w:sz w:val="18"/>
        </w:rPr>
        <w:t xml:space="preserve">Verordnung über den Betrieb eines Videokommunikationssystems für notarielle Urkundstätigkeiten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Soweit dies zur Registrierung eines Nutzers unter Nachweis seiner Identität nach § 3 Absatz 3 erforderlich ist, dürfen die nach § 3 Absatz 3 Satz 3 und 4 ausgelesenen Daten verarbeitet werden.</w:t>
      </w:r>
    </w:p>
    <w:p>
      <w:r>
        <w:t xml:space="preserve">(2) Soweit dies zur Verwaltung von Nutzerdaten, zur Information von Nutzern oder zur Kommunikation mit Nutzern erforderlich ist, dürfen Nutzerdaten verarbeitet werden.</w:t>
      </w:r>
    </w:p>
    <w:p>
      <w:r>
        <w:t xml:space="preserve">(3) Soweit dies zur Durchführung der Suche nach Notaren und Notariatsverwaltern nach § 8 Absatz 2 Nummer 1 erforderlich ist, dürfen folgende Daten verarbeitet werden:</w:t>
      </w:r>
    </w:p>
    <w:p>
      <w:pPr>
        <w:ind w:left="420"/>
      </w:pPr>
      <w:r>
        <w:t xml:space="preserve">1. die in das Notarverzeichnis eingetragenen Daten zu einem Notar oder Notariatsverwalter, die nach § 9 der Notarverzeichnis- und -postfachverordnung einsehbar sind, sowie</w:t>
      </w:r>
    </w:p>
    <w:p>
      <w:pPr>
        <w:ind w:left="420"/>
      </w:pPr>
      <w:r>
        <w:t xml:space="preserve">2. Angaben zu den in § 10a Absatz 3 Satz 1 der Bundesnotarordnung genannten Orten.</w:t>
      </w:r>
    </w:p>
    <w:p>
      <w:r>
        <w:t xml:space="preserve">(4) Soweit dies zur Durchführung der Identitätsfeststellung durch eine Amtsperson nach § 10 einschließlich der Echtheits- und Gültigkeitsprüfung und der Prüfung der Manipulationsfreiheit erforderlich ist, dürfen folgende Daten verarbeitet werden:</w:t>
      </w:r>
    </w:p>
    <w:p>
      <w:pPr>
        <w:ind w:left="420"/>
      </w:pPr>
      <w:r>
        <w:t xml:space="preserve">1. zur Durchführung einer elektronischen Identifizierung die nach § 10 Absatz 2 Satz 2 ausgelesenen Daten;</w:t>
      </w:r>
    </w:p>
    <w:p>
      <w:pPr>
        <w:ind w:left="420"/>
      </w:pPr>
      <w:r>
        <w:t xml:space="preserve">2. zur Durchführung eines Lichtbildabgleichs durch die Amtsperson die nach § 10 Absatz 3 Satz 2 ausgelesenen Daten.</w:t>
      </w:r>
    </w:p>
    <w:p>
      <w:r>
        <w:t xml:space="preserve">(5) Soweit dies zur Übermittlung elektronischer Dokumente durch die Amtsperson an Nutzer zur Durchsicht nach § 11 erforderlich ist, dürfen elektronische Dokumente verarbeitet werden.</w:t>
      </w:r>
    </w:p>
    <w:p>
      <w:r>
        <w:t xml:space="preserve">(6) Soweit dies zur Ausstellung qualifizierter Zertifikate für elektronische Signaturen für Nutzer und zur Ermöglichung der Erstellung qualifizierter elektronischer Signaturen durch Nutzer erforderlich ist, dürfen die nach § 12 Absatz 3 Satz 4 ausgelesenen Daten verarbeitet werden.</w:t>
      </w:r>
    </w:p>
    <w:p>
      <w:r>
        <w:t xml:space="preserve">(7) Soweit dies zur Anbahnung, zur Vorbereitung, zur Durchführung oder zum Vollzug einer Urkundstätigkeit durch eine Amtsperson erforderlich ist, dürfen die in einem Vorgang zusammengefassten Daten verarbeitet werden.</w:t>
      </w:r>
    </w:p>
    <w:p>
      <w:r>
        <w:rPr>
          <w:color w:val="555555"/>
          <w:sz w:val="17"/>
        </w:rPr>
        <w:t xml:space="preserve">Zitiervorschlag: § 13 NotViKoV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https://recht.nulegal.eu/gesetze/NotViKoV/13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