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NotViKoV — Begriffsbestimmungen</w:t>
      </w:r>
    </w:p>
    <w:p>
      <w:r>
        <w:rPr>
          <w:color w:val="555555"/>
          <w:sz w:val="18"/>
        </w:rPr>
        <w:t xml:space="preserve">Verordnung über den Betrieb eines Videokommunikationssystems für notarielle Urkundstätigkeiten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Im Sinne dieser Verordnung bezeichnet:</w:t>
      </w:r>
    </w:p>
    <w:p>
      <w:pPr>
        <w:ind w:left="420"/>
      </w:pPr>
      <w:r>
        <w:t xml:space="preserve">1. „Vorgang“ einen in dem Videokommunikationssystem gespeicherten Datensatz zu einer Urkundstätigkeit;</w:t>
      </w:r>
    </w:p>
    <w:p>
      <w:pPr>
        <w:ind w:left="420"/>
      </w:pPr>
      <w:r>
        <w:t xml:space="preserve">2. „Amtsperson“ einen Notar, einen Notariatsverwalter oder eine Notarvertretung;</w:t>
      </w:r>
    </w:p>
    <w:p>
      <w:pPr>
        <w:ind w:left="420"/>
      </w:pPr>
      <w:r>
        <w:t xml:space="preserve">3. „Beteiligter“</w:t>
      </w:r>
    </w:p>
    <w:p>
      <w:pPr>
        <w:ind w:left="780"/>
      </w:pPr>
      <w:r>
        <w:t xml:space="preserve">a) im Fall der Beurkundung von Willenserklärungen mittels Videokommunikation (§§ 16a bis 16e des Beurkundungsgesetzes) einen Erschienenen im Sinne des § 6 Absatz 2 des Beurkundungsgesetzes und</w:t>
      </w:r>
    </w:p>
    <w:p>
      <w:pPr>
        <w:ind w:left="780"/>
      </w:pPr>
      <w:r>
        <w:t xml:space="preserve">b) im Fall der Beglaubigung einer qualifizierten elektronischen Signatur mittels Videokommunikation (§ 40a des Beurkundungsgesetzes) eine Person, welche die qualifizierte elektronische Signatur anerkennt;</w:t>
      </w:r>
    </w:p>
    <w:p>
      <w:pPr>
        <w:ind w:left="420"/>
      </w:pPr>
      <w:r>
        <w:t xml:space="preserve">4. „hinzugezogene Person“ eine Person, deren Zuziehung zu einer Urkundstätigkeit nach dem Beurkundungsgesetz vorgesehen ist;</w:t>
      </w:r>
    </w:p>
    <w:p>
      <w:pPr>
        <w:ind w:left="420"/>
      </w:pPr>
      <w:r>
        <w:t xml:space="preserve">5. „Dritter“ eine Person, die eine Urkundstätigkeit auf Veranlassung eines Beteiligten begleitet, ohne selbst Beteiligter oder hinzugezogene Person zu sein;</w:t>
      </w:r>
    </w:p>
    <w:p>
      <w:pPr>
        <w:ind w:left="420"/>
      </w:pPr>
      <w:r>
        <w:t xml:space="preserve">6. „Nutzer“ eine Person, die das Videokommunikationssystem als Beteiligter, hinzugezogene Person oder Dritter nutzt;</w:t>
      </w:r>
    </w:p>
    <w:p>
      <w:pPr>
        <w:ind w:left="420"/>
      </w:pPr>
      <w:r>
        <w:t xml:space="preserve">7. „Nutzerdaten“ folgende Daten zu einem Nutzer:</w:t>
      </w:r>
    </w:p>
    <w:p>
      <w:pPr>
        <w:ind w:left="780"/>
      </w:pPr>
      <w:r>
        <w:t xml:space="preserve">a) Familienname,</w:t>
      </w:r>
    </w:p>
    <w:p>
      <w:pPr>
        <w:ind w:left="780"/>
      </w:pPr>
      <w:r>
        <w:t xml:space="preserve">b) Geburtsname,</w:t>
      </w:r>
    </w:p>
    <w:p>
      <w:pPr>
        <w:ind w:left="780"/>
      </w:pPr>
      <w:r>
        <w:t xml:space="preserve">c) Vornamen,</w:t>
      </w:r>
    </w:p>
    <w:p>
      <w:pPr>
        <w:ind w:left="780"/>
      </w:pPr>
      <w:r>
        <w:t xml:space="preserve">d) Anrede,</w:t>
      </w:r>
    </w:p>
    <w:p>
      <w:pPr>
        <w:ind w:left="780"/>
      </w:pPr>
      <w:r>
        <w:t xml:space="preserve">e) akademische Grade und Ehrengrade sowie die Bezeichnung als Professor,</w:t>
      </w:r>
    </w:p>
    <w:p>
      <w:pPr>
        <w:ind w:left="780"/>
      </w:pPr>
      <w:r>
        <w:t xml:space="preserve">f) Tag der Geburt,</w:t>
      </w:r>
    </w:p>
    <w:p>
      <w:pPr>
        <w:ind w:left="780"/>
      </w:pPr>
      <w:r>
        <w:t xml:space="preserve">g) Ort der Geburt,</w:t>
      </w:r>
    </w:p>
    <w:p>
      <w:pPr>
        <w:ind w:left="780"/>
      </w:pPr>
      <w:r>
        <w:t xml:space="preserve">h) Anschriften,</w:t>
      </w:r>
    </w:p>
    <w:p>
      <w:pPr>
        <w:ind w:left="780"/>
      </w:pPr>
      <w:r>
        <w:t xml:space="preserve">i) Staatsangehörigkeit,</w:t>
      </w:r>
    </w:p>
    <w:p>
      <w:pPr>
        <w:ind w:left="780"/>
      </w:pPr>
      <w:r>
        <w:t xml:space="preserve">j) Familienstand,</w:t>
      </w:r>
    </w:p>
    <w:p>
      <w:pPr>
        <w:ind w:left="780"/>
      </w:pPr>
      <w:r>
        <w:t xml:space="preserve">k) den Nutzer betreffende Eintragungen in einem öffentlichen Register,</w:t>
      </w:r>
    </w:p>
    <w:p>
      <w:pPr>
        <w:ind w:left="780"/>
      </w:pPr>
      <w:r>
        <w:t xml:space="preserve">l) Nutzername,</w:t>
      </w:r>
    </w:p>
    <w:p>
      <w:pPr>
        <w:ind w:left="780"/>
      </w:pPr>
      <w:r>
        <w:t xml:space="preserve">m) De-Mail-Adressen oder vergleichbare Adressen eines Zustelldienstes eines anderen Mitgliedstaates der Europäischen Union oder eines anderen Vertragsstaates des Abkommens über den Europäischen Wirtschaftsraum nach der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19; L 155 vom 14.6.2016, S. 44),</w:t>
      </w:r>
    </w:p>
    <w:p>
      <w:pPr>
        <w:ind w:left="780"/>
      </w:pPr>
      <w:r>
        <w:t xml:space="preserve">n) E-Mail-Adressen,</w:t>
      </w:r>
    </w:p>
    <w:p>
      <w:pPr>
        <w:ind w:left="780"/>
      </w:pPr>
      <w:r>
        <w:t xml:space="preserve">o) Telefon- und Mobilfunknummern,</w:t>
      </w:r>
    </w:p>
    <w:p>
      <w:pPr>
        <w:ind w:left="780"/>
      </w:pPr>
      <w:r>
        <w:t xml:space="preserve">p) Telefaxnummern und</w:t>
      </w:r>
    </w:p>
    <w:p>
      <w:pPr>
        <w:ind w:left="780"/>
      </w:pPr>
      <w:r>
        <w:t xml:space="preserve">q) bezüglich eines vom Nutzer verwendeten elektronischen Identitätsnachweises oder Identifizierungsmittels nach § 16c Satz 1 des Beurkundungsgesetzes</w:t>
      </w:r>
    </w:p>
    <w:p>
      <w:pPr>
        <w:ind w:left="1140"/>
      </w:pPr>
      <w:r>
        <w:t xml:space="preserve">aa) die Dokumentenart,</w:t>
      </w:r>
    </w:p>
    <w:p>
      <w:pPr>
        <w:ind w:left="1140"/>
      </w:pPr>
      <w:r>
        <w:t xml:space="preserve">bb) der letzte Tag der Gültigkeitsdauer sowie</w:t>
      </w:r>
    </w:p>
    <w:p>
      <w:pPr>
        <w:ind w:left="1140"/>
      </w:pPr>
      <w:r>
        <w:t xml:space="preserve">cc) das dienste- und kartenspezifische Kennzeichen oder eine andere eindeutige Kennung;</w:t>
      </w:r>
    </w:p>
    <w:p>
      <w:pPr>
        <w:ind w:left="420"/>
      </w:pPr>
      <w:r>
        <w:t xml:space="preserve">8. „Sachverhaltsdaten“ Daten zu den Einzelheiten einer Urkundstätigkeit einschließlich der dafür relevanten oder zu prüfenden personenbezogenen Daten und Verfahrensinformationen.</w:t>
      </w:r>
    </w:p>
    <w:p>
      <w:r>
        <w:rPr>
          <w:color w:val="555555"/>
          <w:sz w:val="17"/>
        </w:rPr>
        <w:t xml:space="preserve">Zitiervorschlag: § 1 NotViKoV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https://recht.nulegal.eu/gesetze/NotViKoV/1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