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NotVPV</w:t>
      </w:r>
    </w:p>
    <w:p>
      <w:r>
        <w:rPr>
          <w:color w:val="555555"/>
          <w:sz w:val="18"/>
        </w:rPr>
        <w:t xml:space="preserve">Notarverzeichnis-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78m Absatz 1 Satz 1 in Verbindung mit Absatz 2 und des § 78n Absatz 5 der Bundesnotarordnung, die durch Artikel 1 Nummer 15 des Gesetzes vom 1. Juni 2017 (BGBl. I S. 1396) eingefügt worden sind,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NotVPV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