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NotVPV — Löschungen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Wird ein besonderes elektronisches Notarpostfach gelöscht (§ 20), so löscht die Bundesnotarkammer dessen Bezeichnung unverzüglich aus dem Notarverzeichnis.</w:t>
      </w:r>
    </w:p>
    <w:p>
      <w:r>
        <w:t xml:space="preserve">(2) Wird das Ende einer amtlichen Tätigkeit in das Notarverzeichnis eingetragen, löscht die Bundesnotarkammer unverzüglich die zu dieser Tätigkeit gehörenden Angaben nach § 3 Absatz 1 Nummer 5 und 6 und Absatz 2. Endet mit dem Ende der amtlichen Tätigkeit die Bestellung als Amtsperson, löscht die Bundesnotarkammer unverzüglich auch die Angaben nach § 2 Absatz 5.</w:t>
      </w:r>
    </w:p>
    <w:p>
      <w:r>
        <w:rPr>
          <w:color w:val="555555"/>
          <w:sz w:val="17"/>
        </w:rPr>
        <w:t xml:space="preserve">Zitiervorschlag: § 8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