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NotVPV — Berichtigungen</w:t>
      </w:r>
    </w:p>
    <w:p>
      <w:r>
        <w:rPr>
          <w:color w:val="555555"/>
          <w:sz w:val="18"/>
        </w:rPr>
        <w:t xml:space="preserve">Notarverzeichnis- und -postfachverordnung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Stellt die eintragende Stelle fest, dass ihre Eintragungen unrichtig oder unvollständig sind, hat sie diese unverzüglich zu berichtigen oder zu vervollständigen. Für Berichtigungen oder Vervollständigungen der Notarkammern und Aufsichtsbehörden gilt § 6 Absatz 1 Satz 2 und Absatz 2 bis 4 entsprechend. Hat die eintragende Stelle Zweifel an der Richtigkeit oder Vollständigkeit der Eintragungen, hat sie hierzu Auskünfte einzuholen.</w:t>
      </w:r>
    </w:p>
    <w:p>
      <w:r>
        <w:rPr>
          <w:color w:val="555555"/>
          <w:sz w:val="17"/>
        </w:rPr>
        <w:t xml:space="preserve">Zitiervorschlag: § 7 NotVPV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https://recht.nulegal.eu/gesetze/NotVPV/7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