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NotVPV — Eintragungen</w:t>
      </w:r>
    </w:p>
    <w:p>
      <w:r>
        <w:rPr>
          <w:color w:val="555555"/>
          <w:sz w:val="18"/>
        </w:rPr>
        <w:t xml:space="preserve">Notarverzeichnis- und -postfachverordnung</w:t>
      </w:r>
    </w:p>
    <w:p>
      <w:r>
        <w:rPr>
          <w:color w:val="555555"/>
          <w:sz w:val="18"/>
        </w:rPr>
        <w:t xml:space="preserve">Stand: 01.08.2021 (konsolidierte Textfassung, kein amtliches Inkrafttretensdatum)</w:t>
      </w:r>
    </w:p>
    <w:p>
      <w:r>
        <w:t xml:space="preserve">(1) Die Notarkammern nehmen die ihnen obliegenden Eintragungen in das Notarverzeichnis unverzüglich vor, nachdem sie von den einzutragenden Inhalten Kenntnis erhalten haben. Die Bundesnotarkammer stellt ihnen hierfür eine Webanwendung zur Verfügung.</w:t>
      </w:r>
    </w:p>
    <w:p>
      <w:r>
        <w:t xml:space="preserve">(2) Die Eintragungen sind von den Mitarbeitern der Notarkammern im Notarverzeichnis qualifiziert elektronisch zu signieren, soweit die Webanwendung dies vorsieht. Hierbei sind von einem qualifizierten Vertrauensdiensteanbieter ausgestellte qualifizierte Zertifikate mit einem Attribut zu verwenden, das die Inhaber als für die Notarkammer handelnd ausweist. Die Sätze 1 und 2 gelten auch im Fall eines automatisierten Abrufs nach § 78l Absatz 4 der Bundesnotarordnung.</w:t>
      </w:r>
    </w:p>
    <w:p>
      <w:r>
        <w:t xml:space="preserve">(3) In Ausnahmefällen, insbesondere bei technischen Störungen, können die Notarkammern die Bundesnotarkammer schriftlich beauftragen, einzelne Eintragungen für sie vorzunehmen.</w:t>
      </w:r>
    </w:p>
    <w:p>
      <w:r>
        <w:t xml:space="preserve">(4) Stellt die Bundesnotarkammer den Aufsichtsbehörden für Eintragungen in das Notarverzeichnis eine Webanwendung zur Verfügung, gelten die Absätze 2 und 3 entsprechend.</w:t>
      </w:r>
    </w:p>
    <w:p>
      <w:r>
        <w:t xml:space="preserve">(5) Die Bundesnotarkammer trägt die Bezeichnung des besonderen elektronischen Notarpostfachs unverzüglich ein, nachdem sie dieses eingerichtet hat. Sie stellt den Amtspersonen für die Mitteilung der in § 2 Absatz 5 und § 3 Absatz 2 bezeichneten Angaben eine Webanwendung zur Verfügung und nimmt die entsprechenden Eintragungen unverzüglich vor, nachdem ihr die Mitteilungen zugegangen sind.</w:t>
      </w:r>
    </w:p>
    <w:p>
      <w:r>
        <w:rPr>
          <w:color w:val="555555"/>
          <w:sz w:val="17"/>
        </w:rPr>
        <w:t xml:space="preserve">Zitiervorschlag: § 6 NotVPV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https://recht.nulegal.eu/gesetze/NotVPV/6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