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NotVPV — Notarvertretung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Bestellung einer Notarvertretung ist bei derjenigen amtlichen Tätigkeit einzutragen, auf die sich die Bestellung bezieht. § 2 Absatz 2 bis 4 und § 3 Absatz 1 Nummer 3 und 4 gelten entsprechend.</w:t>
      </w:r>
    </w:p>
    <w:p>
      <w:r>
        <w:t xml:space="preserve">(2) Zum Zweck der Vorbereitung einer möglichen Bestellung als Notarvertretung können die Notarkammern zu einer Person nach § 1 Absatz 3 eintragen:</w:t>
      </w:r>
    </w:p>
    <w:p>
      <w:pPr>
        <w:ind w:left="420"/>
      </w:pPr>
      <w:r>
        <w:t xml:space="preserve">1. den Familiennamen und den oder die Vornamen nach Maßgabe des § 2 Absatz 3,</w:t>
      </w:r>
    </w:p>
    <w:p>
      <w:pPr>
        <w:ind w:left="420"/>
      </w:pPr>
      <w:r>
        <w:t xml:space="preserve">2. die Angaben nach § 2 Absatz 2 und 4,</w:t>
      </w:r>
    </w:p>
    <w:p>
      <w:pPr>
        <w:ind w:left="420"/>
      </w:pPr>
      <w:r>
        <w:t xml:space="preserve">3. die Anschrift,</w:t>
      </w:r>
    </w:p>
    <w:p>
      <w:pPr>
        <w:ind w:left="420"/>
      </w:pPr>
      <w:r>
        <w:t xml:space="preserve">4. eine E-Mail-Adresse und</w:t>
      </w:r>
    </w:p>
    <w:p>
      <w:pPr>
        <w:ind w:left="420"/>
      </w:pPr>
      <w:r>
        <w:t xml:space="preserve">5. eine Telefonnummer.</w:t>
      </w:r>
    </w:p>
    <w:p>
      <w:r>
        <w:t xml:space="preserve">Die Angaben nach Satz 1 sind zu löschen, wenn die eingetragene Person dies verlangt oder nicht mehr davon auszugehen ist, dass eine Bestellung der Person als Notarvertretung, Notariatsverwalter oder Notar erfolgen wird.</w:t>
      </w:r>
    </w:p>
    <w:p>
      <w:r>
        <w:rPr>
          <w:color w:val="555555"/>
          <w:sz w:val="17"/>
        </w:rPr>
        <w:t xml:space="preserve">Zitiervorschlag: § 5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