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NotVPV — Angaben zu den amtlichen Tätigkeiten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Zu jeder amtlichen Tätigkeit einer Amtsperson sind folgende Angaben einzutragen:</w:t>
      </w:r>
    </w:p>
    <w:p>
      <w:pPr>
        <w:ind w:left="420"/>
      </w:pPr>
      <w:r>
        <w:t xml:space="preserve">1. der Amtssitz,</w:t>
      </w:r>
    </w:p>
    <w:p>
      <w:pPr>
        <w:ind w:left="420"/>
      </w:pPr>
      <w:r>
        <w:t xml:space="preserve">2. der Amtsbereich,</w:t>
      </w:r>
    </w:p>
    <w:p>
      <w:pPr>
        <w:ind w:left="420"/>
      </w:pPr>
      <w:r>
        <w:t xml:space="preserve">3. der Beginn der amtlichen Tätigkeit,</w:t>
      </w:r>
    </w:p>
    <w:p>
      <w:pPr>
        <w:ind w:left="420"/>
      </w:pPr>
      <w:r>
        <w:t xml:space="preserve">4. das Ende der amtlichen Tätigkeit,</w:t>
      </w:r>
    </w:p>
    <w:p>
      <w:pPr>
        <w:ind w:left="420"/>
      </w:pPr>
      <w:r>
        <w:t xml:space="preserve">5. die Anschriften und geographischen Koordinaten der Geschäftsstellen und</w:t>
      </w:r>
    </w:p>
    <w:p>
      <w:pPr>
        <w:ind w:left="420"/>
      </w:pPr>
      <w:r>
        <w:t xml:space="preserve">6. die Orte und Termine auswärtiger Sprechtage.</w:t>
      </w:r>
    </w:p>
    <w:p>
      <w:r>
        <w:t xml:space="preserve">(2) Zu jeder Geschäftsstelle sind nach Mitteilung durch die Amtsperson folgende Angaben einzutragen:</w:t>
      </w:r>
    </w:p>
    <w:p>
      <w:pPr>
        <w:ind w:left="420"/>
      </w:pPr>
      <w:r>
        <w:t xml:space="preserve">1. die Öffnungszeiten,</w:t>
      </w:r>
    </w:p>
    <w:p>
      <w:pPr>
        <w:ind w:left="420"/>
      </w:pPr>
      <w:r>
        <w:t xml:space="preserve">2. eine Telefonnummer,</w:t>
      </w:r>
    </w:p>
    <w:p>
      <w:pPr>
        <w:ind w:left="420"/>
      </w:pPr>
      <w:r>
        <w:t xml:space="preserve">3. eine Telefaxnummer,</w:t>
      </w:r>
    </w:p>
    <w:p>
      <w:pPr>
        <w:ind w:left="420"/>
      </w:pPr>
      <w:r>
        <w:t xml:space="preserve">4. eine E-Mail-Adresse und</w:t>
      </w:r>
    </w:p>
    <w:p>
      <w:pPr>
        <w:ind w:left="420"/>
      </w:pPr>
      <w:r>
        <w:t xml:space="preserve">5. eine Internetadresse.</w:t>
      </w:r>
    </w:p>
    <w:p>
      <w:r>
        <w:t xml:space="preserve">(3) Darf die Amtsperson die amtliche Tätigkeit im Fall des § 8 Absatz 1 Satz 2 der Bundesnotarordnung nicht persönlich ausüben, ist dies bei der amtlichen Tätigkeit zu vermerken.</w:t>
      </w:r>
    </w:p>
    <w:p>
      <w:r>
        <w:t xml:space="preserve">(4) Für die bei der amtlichen Tätigkeit errichteten Urkunden ist die Verwahrzuständigkeit einzutragen. Die Abgabe von Notariatsakten an ein Staatsarchiv (§ 51 Absatz 5 der Bundesnotarordnung) lässt die Verwahrzuständigkeit im Sinne des Satzes 1 unberührt.</w:t>
      </w:r>
    </w:p>
    <w:p>
      <w:r>
        <w:rPr>
          <w:color w:val="555555"/>
          <w:sz w:val="17"/>
        </w:rPr>
        <w:t xml:space="preserve">Zitiervorschlag: § 3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