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NotVPV — Inkrafttreten</w:t>
      </w:r>
    </w:p>
    <w:p>
      <w:r>
        <w:rPr>
          <w:color w:val="555555"/>
          <w:sz w:val="18"/>
        </w:rPr>
        <w:t xml:space="preserve">Notarverzeichnis- und -postfachverordnung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Tag nach der Verkündung in Kraft.</w:t>
      </w:r>
    </w:p>
    <w:p>
      <w:r>
        <w:rPr>
          <w:color w:val="555555"/>
          <w:sz w:val="17"/>
        </w:rPr>
        <w:t xml:space="preserve">Zitiervorschlag: § 21 NotVPV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https://recht.nulegal.eu/gesetze/NotVPV/21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