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NotVPV — Automatisches Löschen von Nachrichten</w:t>
      </w:r>
    </w:p>
    <w:p>
      <w:r>
        <w:rPr>
          <w:color w:val="555555"/>
          <w:sz w:val="18"/>
        </w:rPr>
        <w:t xml:space="preserve">Notarverzeichnis- und -postfachverordnung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Nachrichten dürfen frühestens 120 Tage nach ihrem Eingang automatisch gelöscht werden.</w:t>
      </w:r>
    </w:p>
    <w:p>
      <w:r>
        <w:rPr>
          <w:color w:val="555555"/>
          <w:sz w:val="17"/>
        </w:rPr>
        <w:t xml:space="preserve">Zitiervorschlag: § 17 NotVPV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https://recht.nulegal.eu/gesetze/NotVPV/17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